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ting#9</w:t>
      </w:r>
      <w:r>
        <w:rPr>
          <w:rFonts w:hint="eastAsia" w:ascii="Arial" w:hAnsi="Arial" w:cs="Arial"/>
          <w:b/>
          <w:sz w:val="24"/>
          <w:szCs w:val="24"/>
          <w:highlight w:val="none"/>
          <w:lang w:val="en-US" w:eastAsia="zh-CN"/>
        </w:rPr>
        <w:t>6-e</w:t>
      </w:r>
      <w:r>
        <w:rPr>
          <w:rFonts w:hint="eastAsia" w:ascii="Arial" w:hAnsi="Arial" w:cs="Arial"/>
          <w:b/>
          <w:sz w:val="24"/>
          <w:szCs w:val="24"/>
          <w:highlight w:val="none"/>
        </w:rPr>
        <w:t xml:space="preserve">                                 </w:t>
      </w:r>
      <w:r>
        <w:rPr>
          <w:rFonts w:hint="eastAsia" w:ascii="Arial" w:hAnsi="Arial" w:cs="Arial"/>
          <w:b/>
          <w:sz w:val="24"/>
          <w:szCs w:val="24"/>
          <w:highlight w:val="none"/>
        </w:rPr>
        <w:t>R4-2010950</w:t>
      </w:r>
      <w:bookmarkStart w:id="12" w:name="_GoBack"/>
      <w:bookmarkEnd w:id="12"/>
      <w:r>
        <w:rPr>
          <w:rFonts w:hint="eastAsia" w:ascii="Arial" w:hAnsi="Arial" w:cs="Arial"/>
          <w:b/>
          <w:sz w:val="24"/>
          <w:szCs w:val="24"/>
          <w:highlight w:val="none"/>
        </w:rPr>
        <w:t xml:space="preserve">                        </w:t>
      </w:r>
    </w:p>
    <w:p>
      <w:pPr>
        <w:rPr>
          <w:rFonts w:hint="eastAsia" w:ascii="Arial" w:hAnsi="Arial" w:eastAsia="宋体" w:cs="Arial"/>
          <w:b/>
          <w:sz w:val="24"/>
          <w:szCs w:val="24"/>
          <w:highlight w:val="none"/>
          <w:lang w:val="en-US" w:eastAsia="zh-CN"/>
        </w:rPr>
      </w:pPr>
      <w:r>
        <w:rPr>
          <w:rFonts w:hint="eastAsia" w:ascii="Arial" w:hAnsi="Arial" w:cs="Arial"/>
          <w:b/>
          <w:sz w:val="24"/>
          <w:szCs w:val="24"/>
          <w:highlight w:val="none"/>
          <w:vertAlign w:val="baseline"/>
          <w:lang w:val="en-US" w:eastAsia="zh-CN"/>
        </w:rPr>
        <w:t>E-meeting,17</w:t>
      </w:r>
      <w:r>
        <w:rPr>
          <w:rFonts w:hint="eastAsia" w:ascii="Arial" w:hAnsi="Arial" w:cs="Arial"/>
          <w:b/>
          <w:sz w:val="24"/>
          <w:szCs w:val="24"/>
          <w:highlight w:val="none"/>
          <w:vertAlign w:val="superscript"/>
        </w:rPr>
        <w:t>th</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May</w:t>
      </w:r>
      <w:r>
        <w:rPr>
          <w:rFonts w:ascii="Arial" w:hAnsi="Arial" w:cs="Arial"/>
          <w:b/>
          <w:sz w:val="24"/>
          <w:szCs w:val="24"/>
          <w:highlight w:val="none"/>
        </w:rPr>
        <w:t xml:space="preserve"> –</w:t>
      </w:r>
      <w:r>
        <w:rPr>
          <w:rFonts w:hint="eastAsia" w:ascii="Arial" w:hAnsi="Arial" w:cs="Arial"/>
          <w:b/>
          <w:sz w:val="24"/>
          <w:szCs w:val="24"/>
          <w:highlight w:val="none"/>
          <w:lang w:val="en-US" w:eastAsia="zh-CN"/>
        </w:rPr>
        <w:t>28</w:t>
      </w:r>
      <w:r>
        <w:rPr>
          <w:rFonts w:hint="eastAsia" w:ascii="Arial" w:hAnsi="Arial" w:cs="Arial"/>
          <w:b/>
          <w:sz w:val="24"/>
          <w:szCs w:val="24"/>
          <w:highlight w:val="none"/>
          <w:vertAlign w:val="superscript"/>
          <w:lang w:val="en-US" w:eastAsia="zh-CN"/>
        </w:rPr>
        <w:t>th</w:t>
      </w:r>
      <w:r>
        <w:rPr>
          <w:rFonts w:ascii="Arial" w:hAnsi="Arial" w:cs="Arial"/>
          <w:b/>
          <w:sz w:val="24"/>
          <w:szCs w:val="24"/>
          <w:highlight w:val="none"/>
        </w:rPr>
        <w:t xml:space="preserve"> </w:t>
      </w:r>
      <w:r>
        <w:rPr>
          <w:rFonts w:hint="eastAsia" w:ascii="Arial" w:hAnsi="Arial" w:cs="Arial"/>
          <w:b/>
          <w:sz w:val="24"/>
          <w:szCs w:val="24"/>
          <w:highlight w:val="none"/>
          <w:lang w:val="en-US" w:eastAsia="zh-CN"/>
        </w:rPr>
        <w:t>Aug</w:t>
      </w:r>
      <w:r>
        <w:rPr>
          <w:rFonts w:hint="eastAsia" w:ascii="Arial" w:hAnsi="Arial" w:cs="Arial"/>
          <w:b/>
          <w:sz w:val="24"/>
          <w:szCs w:val="24"/>
          <w:highlight w:val="none"/>
        </w:rPr>
        <w:t xml:space="preserve">, </w:t>
      </w:r>
      <w:r>
        <w:rPr>
          <w:rFonts w:ascii="Arial" w:hAnsi="Arial" w:cs="Arial"/>
          <w:b/>
          <w:sz w:val="24"/>
          <w:szCs w:val="24"/>
          <w:highlight w:val="none"/>
          <w:lang w:eastAsia="en-US"/>
        </w:rPr>
        <w:t>20</w:t>
      </w:r>
      <w:r>
        <w:rPr>
          <w:rFonts w:hint="eastAsia" w:ascii="Arial" w:hAnsi="Arial" w:cs="Arial"/>
          <w:b/>
          <w:sz w:val="24"/>
          <w:szCs w:val="24"/>
          <w:highlight w:val="none"/>
          <w:lang w:val="en-US" w:eastAsia="zh-CN"/>
        </w:rPr>
        <w:t>20</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7.4.2.1.1</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eastAsia="Malgun Gothic"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rPr>
        <w:t>iscussion on IAB</w:t>
      </w:r>
      <w:r>
        <w:rPr>
          <w:rFonts w:hint="eastAsia" w:ascii="Arial" w:hAnsi="Arial" w:cs="Arial"/>
          <w:b/>
          <w:sz w:val="24"/>
          <w:szCs w:val="24"/>
          <w:highlight w:val="none"/>
          <w:lang w:val="en-US" w:eastAsia="zh-CN"/>
        </w:rPr>
        <w:t>-</w:t>
      </w:r>
      <w:r>
        <w:rPr>
          <w:rFonts w:hint="eastAsia" w:ascii="Arial" w:hAnsi="Arial" w:eastAsia="宋体" w:cs="Arial"/>
          <w:b/>
          <w:sz w:val="24"/>
          <w:szCs w:val="24"/>
          <w:highlight w:val="none"/>
          <w:lang w:val="en-US" w:eastAsia="zh-CN"/>
        </w:rPr>
        <w:t xml:space="preserve">MT power requirement </w:t>
      </w:r>
      <w:r>
        <w:rPr>
          <w:rFonts w:hint="eastAsia" w:ascii="Arial" w:hAnsi="Arial" w:cs="Arial"/>
          <w:b/>
          <w:sz w:val="24"/>
          <w:szCs w:val="24"/>
          <w:highlight w:val="none"/>
          <w:lang w:val="en-US" w:eastAsia="zh-CN"/>
        </w:rPr>
        <w:t xml:space="preserve"> </w:t>
      </w:r>
    </w:p>
    <w:bookmarkEnd w:id="0"/>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Style w:val="39"/>
        <w:tabs>
          <w:tab w:val="left" w:pos="567"/>
          <w:tab w:val="clear" w:pos="1985"/>
        </w:tabs>
        <w:adjustRightInd w:val="0"/>
        <w:ind w:left="510" w:hanging="510"/>
        <w:rPr>
          <w:highlight w:val="none"/>
        </w:rPr>
      </w:pPr>
      <w:r>
        <w:rPr>
          <w:highlight w:val="none"/>
        </w:rPr>
        <w:t>Introduction</w:t>
      </w:r>
    </w:p>
    <w:p>
      <w:pPr>
        <w:pStyle w:val="37"/>
        <w:rPr>
          <w:rFonts w:hint="eastAsia" w:ascii="Times New Roman" w:hAnsi="Times New Roman" w:eastAsia="Malgun Gothic"/>
          <w:highlight w:val="none"/>
          <w:lang w:val="en-US" w:eastAsia="zh-CN"/>
        </w:rPr>
      </w:pPr>
      <w:bookmarkStart w:id="2" w:name="OLE_LINK2"/>
      <w:r>
        <w:rPr>
          <w:rFonts w:ascii="Times New Roman" w:hAnsi="Times New Roman"/>
          <w:highlight w:val="none"/>
        </w:rPr>
        <w:t xml:space="preserve">In the last </w:t>
      </w:r>
      <w:r>
        <w:rPr>
          <w:rFonts w:hint="eastAsia" w:ascii="Times New Roman" w:hAnsi="Times New Roman"/>
          <w:highlight w:val="none"/>
        </w:rPr>
        <w:t>RAN4#9</w:t>
      </w:r>
      <w:r>
        <w:rPr>
          <w:rFonts w:hint="eastAsia" w:ascii="Times New Roman" w:hAnsi="Times New Roman"/>
          <w:highlight w:val="none"/>
          <w:lang w:val="en-US" w:eastAsia="zh-CN"/>
        </w:rPr>
        <w:t>5e</w:t>
      </w:r>
      <w:r>
        <w:rPr>
          <w:rFonts w:hint="eastAsia" w:ascii="Times New Roman" w:hAnsi="Times New Roman"/>
          <w:highlight w:val="none"/>
        </w:rPr>
        <w:t xml:space="preserve"> meeting</w:t>
      </w:r>
      <w:r>
        <w:rPr>
          <w:rFonts w:ascii="Times New Roman" w:hAnsi="Times New Roman"/>
          <w:highlight w:val="none"/>
        </w:rPr>
        <w:t xml:space="preserve">, </w:t>
      </w:r>
      <w:r>
        <w:rPr>
          <w:rFonts w:hint="eastAsia" w:ascii="Times New Roman" w:hAnsi="Times New Roman"/>
          <w:highlight w:val="none"/>
        </w:rPr>
        <w:t xml:space="preserve">there were </w:t>
      </w:r>
      <w:r>
        <w:rPr>
          <w:rFonts w:hint="eastAsia" w:ascii="Times New Roman" w:hAnsi="Times New Roman"/>
          <w:highlight w:val="none"/>
          <w:lang w:val="en-US" w:eastAsia="zh-CN"/>
        </w:rPr>
        <w:t>some</w:t>
      </w:r>
      <w:r>
        <w:rPr>
          <w:rFonts w:hint="eastAsia" w:ascii="Times New Roman" w:hAnsi="Times New Roman"/>
          <w:highlight w:val="none"/>
        </w:rPr>
        <w:t xml:space="preserve"> discussions on IAB MT</w:t>
      </w:r>
      <w:r>
        <w:rPr>
          <w:rFonts w:hint="eastAsia" w:ascii="Times New Roman" w:hAnsi="Times New Roman"/>
          <w:highlight w:val="none"/>
          <w:lang w:val="en-US" w:eastAsia="zh-CN"/>
        </w:rPr>
        <w:t xml:space="preserve"> power related issue and WF [1] was approved for further discussion</w:t>
      </w:r>
      <w:r>
        <w:rPr>
          <w:rFonts w:hint="eastAsia" w:ascii="Times New Roman" w:hAnsi="Times New Roman"/>
          <w:highlight w:val="none"/>
        </w:rPr>
        <w:t xml:space="preserve">. Therefore in this contribution, we want to share some </w:t>
      </w:r>
      <w:r>
        <w:rPr>
          <w:rFonts w:hint="eastAsia" w:ascii="Times New Roman" w:hAnsi="Times New Roman"/>
          <w:highlight w:val="none"/>
          <w:lang w:val="en-US" w:eastAsia="zh-CN"/>
        </w:rPr>
        <w:t>further</w:t>
      </w:r>
      <w:r>
        <w:rPr>
          <w:rFonts w:hint="eastAsia" w:ascii="Times New Roman" w:hAnsi="Times New Roman"/>
          <w:highlight w:val="none"/>
        </w:rPr>
        <w:t xml:space="preserve"> inputs on these open issues. </w:t>
      </w:r>
    </w:p>
    <w:bookmarkEnd w:id="2"/>
    <w:p>
      <w:pPr>
        <w:pStyle w:val="39"/>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outlineLvl w:val="0"/>
        <w:rPr>
          <w:highlight w:val="none"/>
        </w:rPr>
      </w:pPr>
      <w:r>
        <w:rPr>
          <w:rFonts w:hint="eastAsia" w:ascii="Arial" w:hAnsi="Arial"/>
          <w:highlight w:val="none"/>
        </w:rPr>
        <w:t xml:space="preserve">Discussion </w:t>
      </w:r>
      <w:bookmarkStart w:id="3" w:name="OLE_LINK13"/>
      <w:bookmarkStart w:id="4" w:name="OLE_LINK14"/>
    </w:p>
    <w:p>
      <w:pPr>
        <w:pStyle w:val="37"/>
        <w:jc w:val="both"/>
        <w:rPr>
          <w:rFonts w:hint="eastAsia" w:ascii="Times New Roman" w:hAnsi="Times New Roman" w:cs="Times New Roman"/>
          <w:highlight w:val="none"/>
          <w:lang w:val="en-US" w:eastAsia="zh-CN"/>
        </w:rPr>
      </w:pPr>
      <w:bookmarkStart w:id="5" w:name="OLE_LINK5"/>
      <w:r>
        <w:rPr>
          <w:rFonts w:hint="eastAsia" w:ascii="Times New Roman" w:hAnsi="Times New Roman" w:cs="Times New Roman"/>
          <w:highlight w:val="none"/>
          <w:lang w:val="en-US" w:eastAsia="zh-CN"/>
        </w:rPr>
        <w:t>For IAB-MT power related issue, there are following open issues which is mentioned in the previous meeting.</w:t>
      </w:r>
    </w:p>
    <w:p>
      <w:pPr>
        <w:pStyle w:val="37"/>
        <w:keepNext w:val="0"/>
        <w:keepLines w:val="0"/>
        <w:pageBreakBefore w:val="0"/>
        <w:widowControl w:val="0"/>
        <w:numPr>
          <w:ilvl w:val="0"/>
          <w:numId w:val="2"/>
        </w:numPr>
        <w:kinsoku/>
        <w:wordWrap/>
        <w:overflowPunct/>
        <w:topLinePunct w:val="0"/>
        <w:autoSpaceDE/>
        <w:autoSpaceDN/>
        <w:bidi w:val="0"/>
        <w:adjustRightInd/>
        <w:snapToGrid/>
        <w:ind w:left="840" w:leftChars="200" w:hanging="420" w:firstLineChars="0"/>
        <w:jc w:val="both"/>
        <w:textAlignment w:val="auto"/>
        <w:outlineLvl w:val="9"/>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IAB-MT power related issues. </w:t>
      </w:r>
    </w:p>
    <w:p>
      <w:pPr>
        <w:pStyle w:val="37"/>
        <w:keepNext w:val="0"/>
        <w:keepLines w:val="0"/>
        <w:pageBreakBefore w:val="0"/>
        <w:widowControl w:val="0"/>
        <w:numPr>
          <w:ilvl w:val="0"/>
          <w:numId w:val="2"/>
        </w:numPr>
        <w:kinsoku/>
        <w:wordWrap/>
        <w:overflowPunct/>
        <w:topLinePunct w:val="0"/>
        <w:autoSpaceDE/>
        <w:autoSpaceDN/>
        <w:bidi w:val="0"/>
        <w:adjustRightInd/>
        <w:snapToGrid/>
        <w:ind w:left="840" w:leftChars="200" w:hanging="420" w:firstLineChars="0"/>
        <w:jc w:val="both"/>
        <w:textAlignment w:val="auto"/>
        <w:outlineLvl w:val="9"/>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IAB-MT Pc,max definition ;</w:t>
      </w:r>
    </w:p>
    <w:p>
      <w:pPr>
        <w:pStyle w:val="37"/>
        <w:keepNext w:val="0"/>
        <w:keepLines w:val="0"/>
        <w:pageBreakBefore w:val="0"/>
        <w:widowControl w:val="0"/>
        <w:numPr>
          <w:ilvl w:val="0"/>
          <w:numId w:val="2"/>
        </w:numPr>
        <w:kinsoku/>
        <w:wordWrap/>
        <w:overflowPunct/>
        <w:topLinePunct w:val="0"/>
        <w:autoSpaceDE/>
        <w:autoSpaceDN/>
        <w:bidi w:val="0"/>
        <w:adjustRightInd/>
        <w:snapToGrid/>
        <w:ind w:left="840" w:leftChars="200" w:hanging="420" w:firstLineChars="0"/>
        <w:jc w:val="both"/>
        <w:textAlignment w:val="auto"/>
        <w:outlineLvl w:val="9"/>
        <w:rPr>
          <w:rFonts w:hint="eastAsia" w:ascii="Times New Roman" w:hAnsi="Times New Roman"/>
          <w:szCs w:val="21"/>
          <w:highlight w:val="none"/>
          <w:lang w:val="en-US" w:eastAsia="zh-CN"/>
        </w:rPr>
      </w:pPr>
      <w:r>
        <w:rPr>
          <w:rFonts w:hint="eastAsia" w:ascii="Times New Roman" w:hAnsi="Times New Roman" w:cs="Times New Roman"/>
          <w:highlight w:val="none"/>
          <w:lang w:val="en-US" w:eastAsia="zh-CN"/>
        </w:rPr>
        <w:t xml:space="preserve">IAB-MT Tx dynamic range requirement and power control related issues.; </w:t>
      </w:r>
    </w:p>
    <w:p>
      <w:pPr>
        <w:pStyle w:val="37"/>
        <w:jc w:val="both"/>
        <w:rPr>
          <w:rFonts w:hint="eastAsia" w:ascii="Times New Roman" w:hAnsi="Times New Roman"/>
          <w:szCs w:val="21"/>
          <w:highlight w:val="none"/>
          <w:lang w:val="en-US" w:eastAsia="zh-CN"/>
        </w:rPr>
      </w:pPr>
      <w:r>
        <w:rPr>
          <w:rFonts w:hint="eastAsia" w:ascii="Times New Roman" w:hAnsi="Times New Roman"/>
          <w:szCs w:val="21"/>
          <w:highlight w:val="none"/>
          <w:lang w:val="en-US" w:eastAsia="zh-CN"/>
        </w:rPr>
        <w:t xml:space="preserve">In the following section, we will discuss each requirement </w:t>
      </w:r>
      <w:bookmarkStart w:id="6" w:name="OLE_LINK6"/>
      <w:r>
        <w:rPr>
          <w:rFonts w:hint="eastAsia" w:ascii="Times New Roman" w:hAnsi="Times New Roman"/>
          <w:szCs w:val="21"/>
          <w:highlight w:val="none"/>
          <w:lang w:val="en-US" w:eastAsia="zh-CN"/>
        </w:rPr>
        <w:t>respectively</w:t>
      </w:r>
      <w:bookmarkEnd w:id="6"/>
      <w:r>
        <w:rPr>
          <w:rFonts w:hint="eastAsia" w:ascii="Times New Roman" w:hAnsi="Times New Roman"/>
          <w:szCs w:val="21"/>
          <w:highlight w:val="none"/>
          <w:lang w:val="en-US" w:eastAsia="zh-CN"/>
        </w:rPr>
        <w:t xml:space="preserve">.  </w:t>
      </w:r>
    </w:p>
    <w:p>
      <w:pPr>
        <w:pStyle w:val="37"/>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1"/>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2.1 IAB-MT power related issues  </w:t>
      </w:r>
    </w:p>
    <w:p>
      <w:pPr>
        <w:overflowPunct w:val="0"/>
        <w:autoSpaceDE w:val="0"/>
        <w:autoSpaceDN w:val="0"/>
        <w:adjustRightInd w:val="0"/>
        <w:textAlignment w:val="baseline"/>
        <w:rPr>
          <w:b/>
          <w:color w:val="auto"/>
          <w:u w:val="single"/>
          <w:lang w:val="en-US" w:eastAsia="zh-CN"/>
        </w:rPr>
      </w:pPr>
      <w:bookmarkStart w:id="7" w:name="OLE_LINK11"/>
      <w:r>
        <w:rPr>
          <w:b/>
          <w:color w:val="auto"/>
          <w:u w:val="single"/>
          <w:lang w:eastAsia="ko-KR"/>
        </w:rPr>
        <w:t xml:space="preserve">Issue 1-1: </w:t>
      </w:r>
      <w:r>
        <w:rPr>
          <w:rFonts w:hint="eastAsia"/>
          <w:b/>
          <w:color w:val="auto"/>
          <w:u w:val="single"/>
          <w:lang w:val="en-US" w:eastAsia="zh-CN"/>
        </w:rPr>
        <w:t>maximum output power per TAB connector for Local area IAB-MT 1-H</w:t>
      </w:r>
    </w:p>
    <w:p>
      <w:pPr>
        <w:pStyle w:val="31"/>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31"/>
        <w:numPr>
          <w:ilvl w:val="1"/>
          <w:numId w:val="3"/>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1: </w:t>
      </w:r>
      <w:r>
        <w:rPr>
          <w:rFonts w:hint="eastAsia" w:eastAsia="宋体"/>
          <w:color w:val="auto"/>
          <w:szCs w:val="24"/>
          <w:lang w:val="en-US" w:eastAsia="zh-CN"/>
        </w:rPr>
        <w:t xml:space="preserve">38dBm from FR1 Medium range BS </w:t>
      </w:r>
    </w:p>
    <w:p>
      <w:pPr>
        <w:pStyle w:val="31"/>
        <w:numPr>
          <w:ilvl w:val="1"/>
          <w:numId w:val="3"/>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2: </w:t>
      </w:r>
      <w:r>
        <w:rPr>
          <w:rFonts w:hint="eastAsia" w:eastAsia="宋体"/>
          <w:color w:val="auto"/>
          <w:szCs w:val="24"/>
          <w:lang w:val="en-US" w:eastAsia="zh-CN"/>
        </w:rPr>
        <w:t xml:space="preserve">24dBm from FR1 Local area BS </w:t>
      </w:r>
    </w:p>
    <w:p>
      <w:pPr>
        <w:pStyle w:val="31"/>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 xml:space="preserve">Option 3: other  </w:t>
      </w:r>
    </w:p>
    <w:p>
      <w:pPr>
        <w:pStyle w:val="37"/>
        <w:jc w:val="both"/>
        <w:rPr>
          <w:rFonts w:hint="default" w:ascii="Arial" w:hAnsi="Arial" w:cs="Arial"/>
          <w:b w:val="0"/>
          <w:i w:val="0"/>
          <w:caps w:val="0"/>
          <w:color w:val="000000"/>
          <w:spacing w:val="0"/>
          <w:sz w:val="21"/>
          <w:szCs w:val="21"/>
          <w:lang w:val="en-US"/>
        </w:rPr>
      </w:pPr>
      <w:r>
        <w:rPr>
          <w:rFonts w:hint="eastAsia" w:ascii="Times New Roman" w:hAnsi="Times New Roman" w:cs="Times New Roman"/>
          <w:highlight w:val="none"/>
          <w:lang w:val="en-US" w:eastAsia="zh-CN"/>
        </w:rPr>
        <w:t>For maximum output power per TAB connector for Local area IAB-MT 1-H</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 xml:space="preserve"> we think that Manhattan grid is an important envisioned scenario for IAB deployment where </w:t>
      </w:r>
      <w:r>
        <w:rPr>
          <w:rFonts w:hint="default" w:ascii="Times New Roman" w:hAnsi="Times New Roman" w:cs="Times New Roman"/>
          <w:highlight w:val="none"/>
          <w:lang w:val="en-US" w:eastAsia="zh-CN"/>
        </w:rPr>
        <w:t xml:space="preserve">IAB nodes </w:t>
      </w:r>
      <w:r>
        <w:rPr>
          <w:rFonts w:hint="eastAsia" w:ascii="Times New Roman" w:hAnsi="Times New Roman" w:cs="Times New Roman"/>
          <w:highlight w:val="none"/>
          <w:lang w:val="en-US" w:eastAsia="zh-CN"/>
        </w:rPr>
        <w:t>could</w:t>
      </w:r>
      <w:r>
        <w:rPr>
          <w:rFonts w:hint="default" w:ascii="Times New Roman" w:hAnsi="Times New Roman" w:cs="Times New Roman"/>
          <w:highlight w:val="none"/>
          <w:lang w:val="en-US" w:eastAsia="zh-CN"/>
        </w:rPr>
        <w:t xml:space="preserve"> be installed in the Manhatt</w:t>
      </w: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n grid</w:t>
      </w:r>
      <w:r>
        <w:rPr>
          <w:rFonts w:hint="eastAsia" w:ascii="Times New Roman" w:hAnsi="Times New Roman" w:cs="Times New Roman"/>
          <w:highlight w:val="none"/>
          <w:lang w:val="en-US" w:eastAsia="zh-CN"/>
        </w:rPr>
        <w:t xml:space="preserve"> under the rooftop if connected cable or fiber is too expensive or impossible to be installed. For local area IAB with randomly deployed or plugged IAB nodes, then local area IAB might be also one important scenarios for backhaul transmission.</w:t>
      </w:r>
    </w:p>
    <w:p>
      <w:pPr>
        <w:pStyle w:val="20"/>
        <w:keepNext w:val="0"/>
        <w:keepLines w:val="0"/>
        <w:widowControl/>
        <w:suppressLineNumbers w:val="0"/>
        <w:shd w:val="clear" w:color="auto" w:fill="FFFFFF"/>
        <w:spacing w:before="0" w:beforeAutospacing="0" w:after="0" w:afterAutospacing="0" w:line="360" w:lineRule="atLeast"/>
        <w:ind w:left="0" w:right="0" w:firstLine="0"/>
        <w:jc w:val="center"/>
        <w:rPr>
          <w:rFonts w:hint="default" w:ascii="Arial" w:hAnsi="Arial" w:cs="Arial"/>
          <w:b w:val="0"/>
          <w:i w:val="0"/>
          <w:caps w:val="0"/>
          <w:color w:val="000000"/>
          <w:spacing w:val="0"/>
          <w:sz w:val="21"/>
          <w:szCs w:val="21"/>
          <w:shd w:val="clear" w:color="auto" w:fill="FFFFFF"/>
        </w:rPr>
      </w:pPr>
      <w:r>
        <w:rPr>
          <w:rFonts w:hint="default" w:ascii="Arial" w:hAnsi="Arial" w:cs="Arial"/>
          <w:b w:val="0"/>
          <w:i w:val="0"/>
          <w:caps w:val="0"/>
          <w:color w:val="000000"/>
          <w:spacing w:val="0"/>
          <w:sz w:val="21"/>
          <w:szCs w:val="21"/>
          <w:shd w:val="clear" w:color="auto" w:fill="FFFFFF"/>
        </w:rPr>
        <w:drawing>
          <wp:inline distT="0" distB="0" distL="114300" distR="114300">
            <wp:extent cx="2295525" cy="2486025"/>
            <wp:effectExtent l="0" t="0" r="9525" b="9525"/>
            <wp:docPr id="1" name="图片 10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4" descr="IMG_256"/>
                    <pic:cNvPicPr>
                      <a:picLocks noChangeAspect="1"/>
                    </pic:cNvPicPr>
                  </pic:nvPicPr>
                  <pic:blipFill>
                    <a:blip r:embed="rId5"/>
                    <a:stretch>
                      <a:fillRect/>
                    </a:stretch>
                  </pic:blipFill>
                  <pic:spPr>
                    <a:xfrm>
                      <a:off x="0" y="0"/>
                      <a:ext cx="2295525" cy="2486025"/>
                    </a:xfrm>
                    <a:prstGeom prst="rect">
                      <a:avLst/>
                    </a:prstGeom>
                    <a:noFill/>
                    <a:ln>
                      <a:noFill/>
                    </a:ln>
                  </pic:spPr>
                </pic:pic>
              </a:graphicData>
            </a:graphic>
          </wp:inline>
        </w:drawing>
      </w:r>
    </w:p>
    <w:p>
      <w:pPr>
        <w:pStyle w:val="20"/>
        <w:keepNext w:val="0"/>
        <w:keepLines w:val="0"/>
        <w:widowControl/>
        <w:suppressLineNumbers w:val="0"/>
        <w:shd w:val="clear" w:color="auto" w:fill="FFFFFF"/>
        <w:spacing w:before="0" w:beforeAutospacing="0" w:after="0" w:afterAutospacing="0" w:line="360" w:lineRule="atLeast"/>
        <w:ind w:left="0" w:right="0" w:firstLine="0"/>
        <w:jc w:val="center"/>
        <w:rPr>
          <w:rFonts w:hint="default" w:ascii="Times New Roman" w:hAnsi="Times New Roman" w:cs="Times New Roman"/>
          <w:kern w:val="2"/>
          <w:sz w:val="21"/>
          <w:szCs w:val="24"/>
          <w:highlight w:val="none"/>
          <w:lang w:val="en-US" w:eastAsia="zh-CN" w:bidi="ar-SA"/>
        </w:rPr>
      </w:pPr>
      <w:r>
        <w:rPr>
          <w:rFonts w:hint="eastAsia" w:ascii="Times New Roman" w:hAnsi="Times New Roman" w:cs="Times New Roman"/>
          <w:kern w:val="2"/>
          <w:sz w:val="21"/>
          <w:szCs w:val="24"/>
          <w:highlight w:val="none"/>
          <w:lang w:val="en-US" w:eastAsia="zh-CN" w:bidi="ar-SA"/>
        </w:rPr>
        <w:t>Figure 1. micro cell deployment</w:t>
      </w:r>
    </w:p>
    <w:p>
      <w:pPr>
        <w:pStyle w:val="37"/>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1: to adopt both option 1 and option 2. </w:t>
      </w:r>
    </w:p>
    <w:p>
      <w:pPr>
        <w:pStyle w:val="37"/>
        <w:jc w:val="both"/>
        <w:rPr>
          <w:rFonts w:hint="default" w:ascii="Times New Roman" w:hAnsi="Times New Roman" w:cs="Times New Roman"/>
          <w:highlight w:val="none"/>
          <w:lang w:val="en-US" w:eastAsia="zh-CN"/>
        </w:rPr>
      </w:pPr>
    </w:p>
    <w:bookmarkEnd w:id="7"/>
    <w:p>
      <w:pPr>
        <w:overflowPunct w:val="0"/>
        <w:autoSpaceDE w:val="0"/>
        <w:autoSpaceDN w:val="0"/>
        <w:adjustRightInd w:val="0"/>
        <w:textAlignment w:val="baseline"/>
        <w:rPr>
          <w:b/>
          <w:color w:val="auto"/>
          <w:u w:val="single"/>
          <w:lang w:val="en-US" w:eastAsia="zh-CN"/>
        </w:rPr>
      </w:pPr>
      <w:r>
        <w:rPr>
          <w:b/>
          <w:color w:val="auto"/>
          <w:u w:val="single"/>
          <w:lang w:eastAsia="ko-KR"/>
        </w:rPr>
        <w:t>Issue 1-2</w:t>
      </w:r>
      <w:r>
        <w:rPr>
          <w:rFonts w:hint="eastAsia"/>
          <w:b/>
          <w:color w:val="auto"/>
          <w:u w:val="single"/>
          <w:lang w:val="en-US" w:eastAsia="zh-CN"/>
        </w:rPr>
        <w:t>-1</w:t>
      </w:r>
      <w:r>
        <w:rPr>
          <w:b/>
          <w:color w:val="auto"/>
          <w:u w:val="single"/>
          <w:lang w:eastAsia="ko-KR"/>
        </w:rPr>
        <w:t xml:space="preserve">: </w:t>
      </w:r>
      <w:r>
        <w:rPr>
          <w:rFonts w:hint="eastAsia"/>
          <w:b/>
          <w:color w:val="auto"/>
          <w:u w:val="single"/>
          <w:lang w:val="en-US" w:eastAsia="zh-CN"/>
        </w:rPr>
        <w:t>scaling factor for IAB-MT 1-H</w:t>
      </w:r>
    </w:p>
    <w:p>
      <w:pPr>
        <w:pStyle w:val="31"/>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31"/>
        <w:numPr>
          <w:ilvl w:val="1"/>
          <w:numId w:val="3"/>
        </w:numPr>
        <w:overflowPunct/>
        <w:autoSpaceDE/>
        <w:autoSpaceDN/>
        <w:adjustRightInd/>
        <w:spacing w:after="120"/>
        <w:ind w:left="1440" w:firstLineChars="0"/>
        <w:textAlignment w:val="auto"/>
        <w:rPr>
          <w:rFonts w:hint="default" w:ascii="Times New Roman" w:hAnsi="Times New Roman" w:eastAsia="宋体" w:cs="Times New Roman"/>
          <w:color w:val="auto"/>
          <w:szCs w:val="24"/>
          <w:highlight w:val="none"/>
          <w:lang w:eastAsia="zh-CN"/>
        </w:rPr>
      </w:pPr>
      <w:r>
        <w:rPr>
          <w:rFonts w:hint="default" w:ascii="Times New Roman" w:hAnsi="Times New Roman" w:eastAsia="宋体" w:cs="Times New Roman"/>
          <w:color w:val="auto"/>
          <w:sz w:val="21"/>
          <w:szCs w:val="24"/>
          <w:lang w:eastAsia="zh-CN"/>
        </w:rPr>
        <w:t>Option 1:</w:t>
      </w:r>
      <w:r>
        <w:rPr>
          <w:rFonts w:hint="default" w:ascii="Times New Roman" w:hAnsi="Times New Roman" w:eastAsia="宋体" w:cs="Times New Roman"/>
          <w:color w:val="auto"/>
          <w:sz w:val="21"/>
          <w:szCs w:val="24"/>
          <w:highlight w:val="none"/>
          <w:lang w:eastAsia="zh-CN"/>
        </w:rPr>
        <w:t xml:space="preserve">  </w:t>
      </w:r>
      <w:r>
        <w:rPr>
          <w:rFonts w:hint="default" w:ascii="Times New Roman" w:hAnsi="Times New Roman" w:eastAsia="宋体" w:cs="Times New Roman"/>
          <w:color w:val="auto"/>
          <w:sz w:val="21"/>
          <w:szCs w:val="24"/>
          <w:highlight w:val="none"/>
          <w:lang w:eastAsia="ja-JP"/>
        </w:rPr>
        <w:t xml:space="preserve">N = min(NTXU,active , </w:t>
      </w:r>
      <w:r>
        <w:rPr>
          <w:rFonts w:hint="default" w:ascii="Times New Roman" w:hAnsi="Times New Roman" w:eastAsia="宋体" w:cs="Times New Roman"/>
          <w:color w:val="auto"/>
          <w:sz w:val="21"/>
          <w:szCs w:val="24"/>
          <w:highlight w:val="none"/>
          <w:lang w:val="en-US" w:eastAsia="zh-CN"/>
        </w:rPr>
        <w:t>4</w:t>
      </w:r>
      <w:r>
        <w:rPr>
          <w:rFonts w:hint="default" w:ascii="Times New Roman" w:hAnsi="Times New Roman" w:eastAsia="宋体" w:cs="Times New Roman"/>
          <w:color w:val="auto"/>
          <w:sz w:val="21"/>
          <w:szCs w:val="24"/>
          <w:highlight w:val="none"/>
          <w:lang w:eastAsia="ja-JP"/>
        </w:rPr>
        <w:t>)</w:t>
      </w:r>
      <w:r>
        <w:rPr>
          <w:rFonts w:hint="default" w:ascii="Times New Roman" w:hAnsi="Times New Roman" w:eastAsia="宋体" w:cs="Times New Roman"/>
          <w:color w:val="auto"/>
          <w:sz w:val="21"/>
          <w:szCs w:val="24"/>
          <w:highlight w:val="none"/>
          <w:lang w:val="en-US" w:eastAsia="zh-CN"/>
        </w:rPr>
        <w:t xml:space="preserve"> </w:t>
      </w:r>
    </w:p>
    <w:p>
      <w:pPr>
        <w:pStyle w:val="31"/>
        <w:numPr>
          <w:ilvl w:val="1"/>
          <w:numId w:val="3"/>
        </w:numPr>
        <w:overflowPunct/>
        <w:autoSpaceDE/>
        <w:autoSpaceDN/>
        <w:adjustRightInd/>
        <w:spacing w:after="120"/>
        <w:ind w:left="1440" w:firstLineChars="0"/>
        <w:textAlignment w:val="auto"/>
        <w:rPr>
          <w:rFonts w:hint="default" w:ascii="Times New Roman" w:hAnsi="Times New Roman" w:eastAsia="宋体" w:cs="Times New Roman"/>
          <w:color w:val="auto"/>
          <w:szCs w:val="24"/>
          <w:highlight w:val="none"/>
          <w:lang w:eastAsia="zh-CN"/>
        </w:rPr>
      </w:pPr>
      <w:r>
        <w:rPr>
          <w:rFonts w:hint="default" w:ascii="Times New Roman" w:hAnsi="Times New Roman" w:eastAsia="宋体" w:cs="Times New Roman"/>
          <w:color w:val="auto"/>
          <w:szCs w:val="24"/>
          <w:highlight w:val="none"/>
          <w:lang w:eastAsia="zh-CN"/>
        </w:rPr>
        <w:t xml:space="preserve">Option 2: </w:t>
      </w:r>
      <w:r>
        <w:rPr>
          <w:rFonts w:hint="default" w:ascii="Times New Roman" w:hAnsi="Times New Roman" w:eastAsia="宋体" w:cs="Times New Roman"/>
          <w:color w:val="auto"/>
          <w:sz w:val="21"/>
          <w:szCs w:val="24"/>
          <w:highlight w:val="none"/>
          <w:lang w:eastAsia="ja-JP"/>
        </w:rPr>
        <w:t xml:space="preserve">N = min(NTXU,active , </w:t>
      </w:r>
      <w:r>
        <w:rPr>
          <w:rFonts w:hint="default" w:ascii="Times New Roman" w:hAnsi="Times New Roman" w:eastAsia="宋体" w:cs="Times New Roman"/>
          <w:color w:val="auto"/>
          <w:sz w:val="21"/>
          <w:szCs w:val="24"/>
          <w:highlight w:val="none"/>
          <w:lang w:val="en-US" w:eastAsia="zh-CN"/>
        </w:rPr>
        <w:t>8</w:t>
      </w:r>
      <w:r>
        <w:rPr>
          <w:rFonts w:hint="default" w:ascii="Times New Roman" w:hAnsi="Times New Roman" w:eastAsia="宋体" w:cs="Times New Roman"/>
          <w:color w:val="auto"/>
          <w:sz w:val="21"/>
          <w:szCs w:val="24"/>
          <w:highlight w:val="none"/>
          <w:lang w:eastAsia="ja-JP"/>
        </w:rPr>
        <w:t>)</w:t>
      </w:r>
      <w:r>
        <w:rPr>
          <w:rFonts w:hint="default" w:ascii="Times New Roman" w:hAnsi="Times New Roman" w:eastAsia="宋体" w:cs="Times New Roman"/>
          <w:color w:val="auto"/>
          <w:sz w:val="21"/>
          <w:szCs w:val="24"/>
          <w:highlight w:val="none"/>
          <w:lang w:val="en-US" w:eastAsia="zh-CN"/>
        </w:rPr>
        <w:t xml:space="preserve">   </w:t>
      </w:r>
    </w:p>
    <w:p>
      <w:pPr>
        <w:pStyle w:val="31"/>
        <w:numPr>
          <w:ilvl w:val="1"/>
          <w:numId w:val="3"/>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val="en-US" w:eastAsia="zh-CN"/>
        </w:rPr>
        <w:t>Option 3: other</w:t>
      </w:r>
    </w:p>
    <w:p>
      <w:pPr>
        <w:pStyle w:val="37"/>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For scaling factor for IAB-MT 1-H, as we commented during the last meeting, we could compromise to option 2 with 8 transceiver units considered.</w:t>
      </w:r>
    </w:p>
    <w:p>
      <w:pPr>
        <w:pStyle w:val="37"/>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Proposal 2: to adopt option 2.</w:t>
      </w:r>
    </w:p>
    <w:p>
      <w:pPr>
        <w:overflowPunct w:val="0"/>
        <w:autoSpaceDE w:val="0"/>
        <w:autoSpaceDN w:val="0"/>
        <w:adjustRightInd w:val="0"/>
        <w:textAlignment w:val="baseline"/>
        <w:rPr>
          <w:b/>
          <w:color w:val="auto"/>
          <w:highlight w:val="none"/>
          <w:u w:val="single"/>
          <w:lang w:val="en-US" w:eastAsia="zh-CN"/>
        </w:rPr>
      </w:pPr>
      <w:r>
        <w:rPr>
          <w:b/>
          <w:color w:val="auto"/>
          <w:highlight w:val="none"/>
          <w:u w:val="single"/>
          <w:lang w:eastAsia="ko-KR"/>
        </w:rPr>
        <w:t>Issue 1-2</w:t>
      </w:r>
      <w:r>
        <w:rPr>
          <w:rFonts w:hint="eastAsia"/>
          <w:b/>
          <w:color w:val="auto"/>
          <w:highlight w:val="none"/>
          <w:u w:val="single"/>
          <w:lang w:val="en-US" w:eastAsia="zh-CN"/>
        </w:rPr>
        <w:t>-2</w:t>
      </w:r>
      <w:r>
        <w:rPr>
          <w:b/>
          <w:color w:val="auto"/>
          <w:highlight w:val="none"/>
          <w:u w:val="single"/>
          <w:lang w:eastAsia="ko-KR"/>
        </w:rPr>
        <w:t xml:space="preserve">: </w:t>
      </w:r>
      <w:r>
        <w:rPr>
          <w:rFonts w:hint="eastAsia"/>
          <w:b/>
          <w:color w:val="auto"/>
          <w:highlight w:val="none"/>
          <w:u w:val="single"/>
          <w:lang w:val="en-US" w:eastAsia="zh-CN"/>
        </w:rPr>
        <w:t>scaling factor for IAB-MT 1-O</w:t>
      </w:r>
    </w:p>
    <w:p>
      <w:pPr>
        <w:pStyle w:val="31"/>
        <w:numPr>
          <w:ilvl w:val="0"/>
          <w:numId w:val="3"/>
        </w:numPr>
        <w:overflowPunct/>
        <w:autoSpaceDE/>
        <w:autoSpaceDN/>
        <w:adjustRightInd/>
        <w:spacing w:after="120"/>
        <w:ind w:left="720" w:firstLineChars="0"/>
        <w:textAlignment w:val="auto"/>
        <w:rPr>
          <w:rFonts w:hint="default" w:ascii="Times New Roman" w:hAnsi="Times New Roman" w:eastAsia="宋体" w:cs="Times New Roman"/>
          <w:color w:val="auto"/>
          <w:szCs w:val="24"/>
          <w:highlight w:val="none"/>
          <w:lang w:eastAsia="zh-CN"/>
        </w:rPr>
      </w:pPr>
      <w:r>
        <w:rPr>
          <w:rFonts w:hint="default" w:ascii="Times New Roman" w:hAnsi="Times New Roman" w:eastAsia="宋体" w:cs="Times New Roman"/>
          <w:color w:val="auto"/>
          <w:szCs w:val="24"/>
          <w:highlight w:val="none"/>
          <w:lang w:eastAsia="zh-CN"/>
        </w:rPr>
        <w:t>Proposals</w:t>
      </w:r>
    </w:p>
    <w:p>
      <w:pPr>
        <w:pStyle w:val="31"/>
        <w:numPr>
          <w:ilvl w:val="1"/>
          <w:numId w:val="3"/>
        </w:numPr>
        <w:overflowPunct/>
        <w:autoSpaceDE/>
        <w:autoSpaceDN/>
        <w:adjustRightInd/>
        <w:spacing w:after="120"/>
        <w:ind w:left="1440" w:firstLineChars="0"/>
        <w:textAlignment w:val="auto"/>
        <w:rPr>
          <w:rFonts w:hint="default" w:ascii="Times New Roman" w:hAnsi="Times New Roman" w:eastAsia="宋体" w:cs="Times New Roman"/>
          <w:color w:val="auto"/>
          <w:szCs w:val="24"/>
          <w:highlight w:val="none"/>
          <w:lang w:eastAsia="zh-CN"/>
        </w:rPr>
      </w:pPr>
      <w:r>
        <w:rPr>
          <w:rFonts w:hint="default" w:ascii="Times New Roman" w:hAnsi="Times New Roman" w:eastAsia="宋体" w:cs="Times New Roman"/>
          <w:color w:val="auto"/>
          <w:sz w:val="21"/>
          <w:szCs w:val="24"/>
          <w:highlight w:val="none"/>
          <w:lang w:eastAsia="zh-CN"/>
        </w:rPr>
        <w:t xml:space="preserve">Option 1: </w:t>
      </w:r>
      <w:r>
        <w:rPr>
          <w:rFonts w:hint="default" w:ascii="Times New Roman" w:hAnsi="Times New Roman" w:eastAsia="宋体" w:cs="Times New Roman"/>
          <w:color w:val="auto"/>
          <w:sz w:val="21"/>
          <w:szCs w:val="24"/>
          <w:highlight w:val="none"/>
          <w:lang w:eastAsia="ja-JP"/>
        </w:rPr>
        <w:t xml:space="preserve">N = </w:t>
      </w:r>
      <w:r>
        <w:rPr>
          <w:rFonts w:hint="default" w:ascii="Times New Roman" w:hAnsi="Times New Roman" w:eastAsia="宋体" w:cs="Times New Roman"/>
          <w:color w:val="auto"/>
          <w:sz w:val="21"/>
          <w:szCs w:val="24"/>
          <w:highlight w:val="none"/>
          <w:lang w:val="en-US" w:eastAsia="zh-CN"/>
        </w:rPr>
        <w:t>4</w:t>
      </w:r>
    </w:p>
    <w:p>
      <w:pPr>
        <w:pStyle w:val="31"/>
        <w:numPr>
          <w:ilvl w:val="1"/>
          <w:numId w:val="3"/>
        </w:numPr>
        <w:overflowPunct/>
        <w:autoSpaceDE/>
        <w:autoSpaceDN/>
        <w:adjustRightInd/>
        <w:spacing w:after="120"/>
        <w:ind w:left="1440" w:firstLineChars="0"/>
        <w:textAlignment w:val="auto"/>
        <w:rPr>
          <w:rFonts w:hint="default" w:ascii="Times New Roman" w:hAnsi="Times New Roman" w:eastAsia="宋体" w:cs="Times New Roman"/>
          <w:color w:val="auto"/>
          <w:szCs w:val="24"/>
          <w:highlight w:val="none"/>
          <w:lang w:eastAsia="zh-CN"/>
        </w:rPr>
      </w:pPr>
      <w:r>
        <w:rPr>
          <w:rFonts w:hint="default" w:ascii="Times New Roman" w:hAnsi="Times New Roman" w:eastAsia="宋体" w:cs="Times New Roman"/>
          <w:color w:val="auto"/>
          <w:szCs w:val="24"/>
          <w:highlight w:val="none"/>
          <w:lang w:eastAsia="zh-CN"/>
        </w:rPr>
        <w:t xml:space="preserve">Option 2: </w:t>
      </w:r>
      <w:r>
        <w:rPr>
          <w:rFonts w:hint="default" w:ascii="Times New Roman" w:hAnsi="Times New Roman" w:eastAsia="宋体" w:cs="Times New Roman"/>
          <w:color w:val="auto"/>
          <w:sz w:val="21"/>
          <w:szCs w:val="24"/>
          <w:highlight w:val="none"/>
          <w:lang w:eastAsia="ja-JP"/>
        </w:rPr>
        <w:t xml:space="preserve">N = </w:t>
      </w:r>
      <w:r>
        <w:rPr>
          <w:rFonts w:hint="default" w:ascii="Times New Roman" w:hAnsi="Times New Roman" w:eastAsia="宋体" w:cs="Times New Roman"/>
          <w:color w:val="auto"/>
          <w:sz w:val="21"/>
          <w:szCs w:val="24"/>
          <w:highlight w:val="none"/>
          <w:lang w:val="en-US" w:eastAsia="zh-CN"/>
        </w:rPr>
        <w:t xml:space="preserve">8 </w:t>
      </w:r>
    </w:p>
    <w:p>
      <w:pPr>
        <w:pStyle w:val="31"/>
        <w:numPr>
          <w:ilvl w:val="1"/>
          <w:numId w:val="3"/>
        </w:numPr>
        <w:overflowPunct/>
        <w:autoSpaceDE/>
        <w:autoSpaceDN/>
        <w:adjustRightInd/>
        <w:spacing w:after="120"/>
        <w:ind w:left="1440" w:firstLineChars="0"/>
        <w:textAlignment w:val="auto"/>
        <w:rPr>
          <w:rFonts w:hint="default" w:ascii="Times New Roman" w:hAnsi="Times New Roman" w:eastAsia="宋体" w:cs="Times New Roman"/>
          <w:color w:val="auto"/>
          <w:szCs w:val="24"/>
          <w:highlight w:val="none"/>
          <w:lang w:eastAsia="zh-CN"/>
        </w:rPr>
      </w:pPr>
      <w:r>
        <w:rPr>
          <w:rFonts w:hint="default" w:ascii="Times New Roman" w:hAnsi="Times New Roman" w:eastAsia="宋体" w:cs="Times New Roman"/>
          <w:color w:val="auto"/>
          <w:szCs w:val="24"/>
          <w:highlight w:val="none"/>
          <w:lang w:val="en-US" w:eastAsia="zh-CN"/>
        </w:rPr>
        <w:t>Option 3: other</w:t>
      </w:r>
    </w:p>
    <w:p>
      <w:pPr>
        <w:pStyle w:val="37"/>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If we do not have the min 8 TRX requirement (as per issue 1-3) , to avoid having too relaxed requirements for IAB-MT 1-O, we think the same scaling factor of 1-H should be used for 1-O.</w:t>
      </w:r>
    </w:p>
    <w:p>
      <w:pPr>
        <w:pStyle w:val="37"/>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3: to use the same scaling factor as IAB-MT 1-H for IAB-MT 1-O.</w:t>
      </w:r>
    </w:p>
    <w:p>
      <w:pPr>
        <w:pStyle w:val="37"/>
        <w:rPr>
          <w:rFonts w:hint="eastAsia"/>
          <w:lang w:val="en-US" w:eastAsia="zh-CN"/>
        </w:rPr>
      </w:pPr>
    </w:p>
    <w:p>
      <w:pPr>
        <w:pStyle w:val="37"/>
        <w:rPr>
          <w:rFonts w:hint="eastAsia"/>
          <w:lang w:val="en-US" w:eastAsia="zh-CN"/>
        </w:rPr>
      </w:pPr>
      <w:r>
        <w:rPr>
          <w:rFonts w:hint="eastAsia" w:ascii="Times New Roman" w:hAnsi="Times New Roman" w:cs="Times New Roman"/>
          <w:b/>
          <w:bCs/>
          <w:highlight w:val="none"/>
          <w:lang w:val="en-US" w:eastAsia="zh-CN"/>
        </w:rPr>
        <w:t xml:space="preserve">2.2 IAB-MT configured transmitted power  </w:t>
      </w:r>
    </w:p>
    <w:p>
      <w:pPr>
        <w:pStyle w:val="37"/>
        <w:rPr>
          <w:rFonts w:hint="default" w:ascii="Times New Roman" w:hAnsi="Times New Roman" w:cs="Times New Roman"/>
          <w:lang w:val="en-US" w:eastAsia="zh-CN"/>
        </w:rPr>
      </w:pPr>
      <w:r>
        <w:rPr>
          <w:rFonts w:hint="default" w:ascii="Times New Roman" w:hAnsi="Times New Roman" w:cs="Times New Roman"/>
          <w:lang w:val="en-US" w:eastAsia="zh-CN"/>
        </w:rPr>
        <w:t>In the last meeting, there are some high level of agreement for IAB-MT configured transmitted power, we also support option 1 wit some simplifications based on the existing UE requirement, regarding the MPR and A-MPR requirement for IAB-MT,</w:t>
      </w:r>
      <w:r>
        <w:rPr>
          <w:rFonts w:hint="eastAsia" w:ascii="Times New Roman" w:hAnsi="Times New Roman" w:cs="Times New Roman"/>
          <w:lang w:val="en-US" w:eastAsia="zh-CN"/>
        </w:rPr>
        <w:t xml:space="preserve"> reference to legacy NR UE is not good options as lots of side conditions for MPR and A-MPR simulation work is not valid for IAB-MT, therefore we think MPR and A-MPR requirement should be up to vendors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declarations.</w:t>
      </w:r>
    </w:p>
    <w:p>
      <w:pPr>
        <w:pStyle w:val="31"/>
        <w:numPr>
          <w:ilvl w:val="1"/>
          <w:numId w:val="4"/>
        </w:numPr>
        <w:ind w:firstLineChars="0"/>
        <w:rPr>
          <w:sz w:val="20"/>
          <w:szCs w:val="20"/>
          <w:highlight w:val="none"/>
        </w:rPr>
      </w:pPr>
      <w:r>
        <w:rPr>
          <w:rFonts w:ascii="Calibri" w:hAnsi="Calibri" w:cs="Calibri"/>
          <w:sz w:val="20"/>
          <w:szCs w:val="20"/>
          <w:highlight w:val="none"/>
        </w:rPr>
        <w:t>P</w:t>
      </w:r>
      <w:r>
        <w:rPr>
          <w:rFonts w:ascii="Calibri" w:hAnsi="Calibri" w:cs="Calibri"/>
          <w:sz w:val="20"/>
          <w:szCs w:val="20"/>
          <w:highlight w:val="none"/>
          <w:vertAlign w:val="subscript"/>
        </w:rPr>
        <w:t>CMAX,f,c</w:t>
      </w:r>
      <w:r>
        <w:rPr>
          <w:rFonts w:ascii="Calibri" w:hAnsi="Calibri" w:cs="Calibri"/>
          <w:sz w:val="20"/>
          <w:szCs w:val="20"/>
          <w:highlight w:val="none"/>
        </w:rPr>
        <w:t xml:space="preserve"> shall be defined for IAB-MT with below options, other option is not precluded. </w:t>
      </w:r>
    </w:p>
    <w:p>
      <w:pPr>
        <w:pStyle w:val="31"/>
        <w:numPr>
          <w:ilvl w:val="2"/>
          <w:numId w:val="4"/>
        </w:numPr>
        <w:ind w:firstLineChars="0"/>
        <w:rPr>
          <w:sz w:val="20"/>
          <w:szCs w:val="20"/>
          <w:highlight w:val="none"/>
        </w:rPr>
      </w:pPr>
      <w:r>
        <w:rPr>
          <w:rFonts w:ascii="Calibri" w:hAnsi="Calibri" w:cs="Calibri"/>
          <w:sz w:val="20"/>
          <w:szCs w:val="20"/>
          <w:highlight w:val="none"/>
        </w:rPr>
        <w:t xml:space="preserve">Option 1:To be defined with necessary simplification based existing UE requirement on </w:t>
      </w:r>
      <w:r>
        <w:rPr>
          <w:rFonts w:ascii="Calibri" w:hAnsi="Calibri" w:cs="Calibri"/>
          <w:i/>
          <w:sz w:val="20"/>
          <w:szCs w:val="20"/>
          <w:highlight w:val="none"/>
        </w:rPr>
        <w:t>Configured transmitted power</w:t>
      </w:r>
      <w:r>
        <w:rPr>
          <w:rFonts w:ascii="Calibri" w:hAnsi="Calibri" w:cs="Calibri"/>
          <w:sz w:val="20"/>
          <w:szCs w:val="20"/>
          <w:highlight w:val="none"/>
        </w:rPr>
        <w:t>.</w:t>
      </w:r>
    </w:p>
    <w:p>
      <w:pPr>
        <w:pStyle w:val="31"/>
        <w:numPr>
          <w:ilvl w:val="2"/>
          <w:numId w:val="4"/>
        </w:numPr>
        <w:ind w:firstLineChars="0"/>
        <w:rPr>
          <w:sz w:val="20"/>
          <w:szCs w:val="20"/>
          <w:highlight w:val="none"/>
        </w:rPr>
      </w:pPr>
      <w:r>
        <w:rPr>
          <w:rFonts w:ascii="Calibri" w:hAnsi="Calibri" w:cs="Calibri"/>
          <w:sz w:val="20"/>
          <w:szCs w:val="20"/>
          <w:highlight w:val="none"/>
        </w:rPr>
        <w:t xml:space="preserve">Option 2: Pcmax definition is addressed in other manner  </w:t>
      </w:r>
    </w:p>
    <w:p>
      <w:pPr>
        <w:pStyle w:val="37"/>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ascii="Times New Roman" w:hAnsi="Times New Roman" w:cs="Times New Roman"/>
          <w:b/>
          <w:bCs/>
          <w:lang w:val="en-US" w:eastAsia="zh-CN"/>
        </w:rPr>
        <w:t>4</w:t>
      </w:r>
      <w:r>
        <w:rPr>
          <w:rFonts w:hint="default" w:ascii="Times New Roman" w:hAnsi="Times New Roman" w:cs="Times New Roman"/>
          <w:b/>
          <w:bCs/>
          <w:lang w:val="en-US" w:eastAsia="zh-CN"/>
        </w:rPr>
        <w:t>: to adopt option 1 for both WA and Local area IAB-MT with MPR and A-MPR up to vendors’ declaration;</w:t>
      </w:r>
    </w:p>
    <w:p>
      <w:pPr>
        <w:pStyle w:val="37"/>
        <w:rPr>
          <w:rFonts w:hint="eastAsia"/>
          <w:lang w:val="en-US" w:eastAsia="zh-CN"/>
        </w:rPr>
      </w:pPr>
    </w:p>
    <w:p>
      <w:pPr>
        <w:pStyle w:val="37"/>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1"/>
        <w:rPr>
          <w:rFonts w:hint="eastAsia"/>
          <w:lang w:val="en-US" w:eastAsia="zh-CN"/>
        </w:rPr>
      </w:pPr>
      <w:r>
        <w:rPr>
          <w:rFonts w:hint="eastAsia" w:ascii="Times New Roman" w:hAnsi="Times New Roman" w:cs="Times New Roman"/>
          <w:b/>
          <w:bCs/>
          <w:highlight w:val="none"/>
          <w:lang w:val="en-US" w:eastAsia="zh-CN"/>
        </w:rPr>
        <w:t>2.2 IAB-MT Tx dynamic range requirement</w:t>
      </w:r>
    </w:p>
    <w:p>
      <w:pPr>
        <w:pStyle w:val="37"/>
        <w:rPr>
          <w:rFonts w:hint="eastAsia"/>
          <w:lang w:val="en-US" w:eastAsia="zh-CN"/>
        </w:rPr>
      </w:pPr>
    </w:p>
    <w:p>
      <w:pPr>
        <w:pStyle w:val="37"/>
        <w:rPr>
          <w:rFonts w:hint="eastAsia"/>
          <w:lang w:val="en-US" w:eastAsia="zh-CN"/>
        </w:rPr>
      </w:pPr>
      <w:r>
        <w:rPr>
          <w:rFonts w:hint="eastAsia"/>
          <w:lang w:val="en-US" w:eastAsia="zh-CN"/>
        </w:rPr>
        <w:t xml:space="preserve">In last meeting WF for IAB-MT Tx dynamic range requirement was approved with some open issues left for further discussion, therefore in the following section, we want to share further inputs on that. </w:t>
      </w:r>
    </w:p>
    <w:p>
      <w:pPr>
        <w:pStyle w:val="37"/>
        <w:rPr>
          <w:rFonts w:hint="default"/>
          <w:lang w:val="en-US" w:eastAsia="zh-CN"/>
        </w:rPr>
      </w:pPr>
      <w:r>
        <w:rPr>
          <w:rFonts w:hint="eastAsia"/>
          <w:lang w:val="en-US" w:eastAsia="zh-CN"/>
        </w:rPr>
        <w:t xml:space="preserve">For WA IAB-MT, it was agreed that no power control requirements on top of Tx dynamic range requirement are defined in Rel-16. </w:t>
      </w:r>
    </w:p>
    <w:p>
      <w:pPr>
        <w:keepNext w:val="0"/>
        <w:keepLines w:val="0"/>
        <w:widowControl/>
        <w:suppressLineNumbers w:val="0"/>
        <w:bidi w:val="0"/>
        <w:spacing w:before="77" w:beforeAutospacing="0" w:after="0" w:afterAutospacing="0" w:line="288" w:lineRule="auto"/>
        <w:ind w:left="1800" w:hanging="360"/>
        <w:jc w:val="left"/>
        <w:textAlignment w:val="baseline"/>
        <w:rPr>
          <w:sz w:val="24"/>
          <w:szCs w:val="24"/>
        </w:rPr>
      </w:pPr>
      <w:r>
        <w:rPr>
          <w:rFonts w:ascii="Arial" w:hAnsi="Arial" w:eastAsia="宋体" w:cs="Arial"/>
          <w:kern w:val="0"/>
          <w:sz w:val="24"/>
          <w:szCs w:val="24"/>
          <w:vertAlign w:val="baseline"/>
          <w:lang w:val="en-US" w:eastAsia="zh-CN" w:bidi="ar"/>
        </w:rPr>
        <w:t>•</w:t>
      </w:r>
      <w:r>
        <w:rPr>
          <w:rFonts w:ascii="Calibri" w:hAnsi="Calibri" w:eastAsia="微软雅黑" w:cs="Calibri"/>
          <w:color w:val="00B050"/>
          <w:kern w:val="0"/>
          <w:sz w:val="24"/>
          <w:szCs w:val="24"/>
          <w:vertAlign w:val="baseline"/>
          <w:lang w:val="en-US" w:eastAsia="zh-CN" w:bidi="ar"/>
        </w:rPr>
        <w:t>FFS how the dynamic range requirements can guarantee the accuracy not only minimum threshold, which can be further discussed in performance phase.</w:t>
      </w:r>
    </w:p>
    <w:p>
      <w:pPr>
        <w:pStyle w:val="37"/>
        <w:rPr>
          <w:rFonts w:hint="eastAsia"/>
          <w:lang w:val="en-US" w:eastAsia="zh-CN"/>
        </w:rPr>
      </w:pPr>
      <w:r>
        <w:rPr>
          <w:rFonts w:hint="eastAsia"/>
          <w:lang w:val="en-US" w:eastAsia="zh-CN"/>
        </w:rPr>
        <w:t xml:space="preserve">For the above open issues left for WA IAB, we think indeed with limited Tx dynamic range means stable link budget between parent IAB-DU and child IAB-MT, then relative high SNR could be achieved which means absolute power tolerance could be well guaranteed. At least channel estimation error for RSRP estimation could be well guaranteed. </w:t>
      </w:r>
    </w:p>
    <w:p>
      <w:pPr>
        <w:pStyle w:val="37"/>
        <w:rPr>
          <w:rFonts w:hint="eastAsia"/>
          <w:lang w:val="en-US" w:eastAsia="zh-CN"/>
        </w:rPr>
      </w:pPr>
    </w:p>
    <w:p>
      <w:pPr>
        <w:pStyle w:val="37"/>
        <w:rPr>
          <w:rFonts w:hint="default"/>
          <w:lang w:val="en-US" w:eastAsia="zh-CN"/>
        </w:rPr>
      </w:pPr>
      <w:r>
        <w:rPr>
          <w:rFonts w:hint="eastAsia"/>
          <w:lang w:val="en-US" w:eastAsia="zh-CN"/>
        </w:rPr>
        <w:t>For Local area IAB-MT, it was agreed to define the Tx power control requirements, some further considerations are shared as following:</w:t>
      </w:r>
    </w:p>
    <w:p>
      <w:pPr>
        <w:pStyle w:val="37"/>
        <w:rPr>
          <w:rFonts w:hint="eastAsia"/>
          <w:lang w:val="en-US" w:eastAsia="zh-CN"/>
        </w:rPr>
      </w:pPr>
      <w:r>
        <w:rPr>
          <w:rFonts w:hint="eastAsia"/>
          <w:lang w:val="en-US" w:eastAsia="zh-CN"/>
        </w:rPr>
        <w:t xml:space="preserve">   </w:t>
      </w:r>
    </w:p>
    <w:p>
      <w:pPr>
        <w:pStyle w:val="37"/>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1"/>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2.3. IAB-MT TX power control requirement:</w:t>
      </w:r>
    </w:p>
    <w:p>
      <w:pPr>
        <w:pStyle w:val="37"/>
        <w:keepNext w:val="0"/>
        <w:keepLines w:val="0"/>
        <w:pageBreakBefore w:val="0"/>
        <w:widowControl w:val="0"/>
        <w:kinsoku/>
        <w:wordWrap/>
        <w:overflowPunct/>
        <w:topLinePunct w:val="0"/>
        <w:autoSpaceDE/>
        <w:autoSpaceDN/>
        <w:bidi w:val="0"/>
        <w:adjustRightInd/>
        <w:snapToGrid/>
        <w:textAlignment w:val="auto"/>
        <w:outlineLvl w:val="2"/>
        <w:rPr>
          <w:rFonts w:hint="eastAsia" w:ascii="Times New Roman" w:hAnsi="Times New Roman"/>
          <w:b/>
          <w:bCs/>
          <w:szCs w:val="21"/>
          <w:lang w:val="en-US" w:eastAsia="zh-CN"/>
        </w:rPr>
      </w:pPr>
      <w:r>
        <w:rPr>
          <w:rFonts w:hint="eastAsia" w:ascii="Times New Roman" w:hAnsi="Times New Roman"/>
          <w:b/>
          <w:bCs/>
          <w:szCs w:val="21"/>
          <w:lang w:val="en-US" w:eastAsia="zh-CN"/>
        </w:rPr>
        <w:t xml:space="preserve">2.3.1 Absolute power tolerance </w:t>
      </w:r>
    </w:p>
    <w:p>
      <w:pPr>
        <w:pStyle w:val="37"/>
        <w:rPr>
          <w:rFonts w:hint="default" w:ascii="Times New Roman" w:hAnsi="Times New Roman" w:eastAsia="宋体" w:cs="Times New Roman"/>
          <w:lang w:val="en-US" w:eastAsia="zh-CN"/>
        </w:rPr>
      </w:pPr>
      <w:r>
        <w:rPr>
          <w:rFonts w:hint="eastAsia" w:ascii="Times New Roman" w:hAnsi="Times New Roman"/>
          <w:szCs w:val="21"/>
          <w:lang w:val="en-US" w:eastAsia="zh-CN"/>
        </w:rPr>
        <w:t xml:space="preserve">Regarding legacy UE absolute power accuracy for setting initial output power to a specific value for the first sub-frame </w:t>
      </w:r>
      <w:r>
        <w:rPr>
          <w:rFonts w:hint="default" w:ascii="Times New Roman" w:hAnsi="Times New Roman" w:cs="Times New Roman"/>
        </w:rPr>
        <w:t>at the start of a contiguous transmission or non-contiguous transmission with a transmission gap larger than 20 ms</w:t>
      </w:r>
      <w:r>
        <w:rPr>
          <w:rFonts w:hint="default" w:ascii="Times New Roman" w:hAnsi="Times New Roman" w:eastAsia="宋体" w:cs="Times New Roman"/>
          <w:lang w:val="en-US" w:eastAsia="zh-CN"/>
        </w:rPr>
        <w:t xml:space="preserve">. The tolerance includes the channel estimation error RSRP estimate. </w:t>
      </w:r>
    </w:p>
    <w:p>
      <w:pPr>
        <w:pStyle w:val="37"/>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For </w:t>
      </w:r>
      <w:r>
        <w:rPr>
          <w:rFonts w:hint="eastAsia" w:ascii="Times New Roman" w:hAnsi="Times New Roman" w:eastAsia="宋体" w:cs="Times New Roman"/>
          <w:lang w:val="en-US" w:eastAsia="zh-CN"/>
        </w:rPr>
        <w:t>local area</w:t>
      </w:r>
      <w:r>
        <w:rPr>
          <w:rFonts w:hint="default" w:ascii="Times New Roman" w:hAnsi="Times New Roman" w:eastAsia="宋体" w:cs="Times New Roman"/>
          <w:lang w:val="en-US" w:eastAsia="zh-CN"/>
        </w:rPr>
        <w:t xml:space="preserve"> IAB network, therefore the PL between different IAB nodes </w:t>
      </w:r>
      <w:r>
        <w:rPr>
          <w:rFonts w:hint="eastAsia" w:ascii="Times New Roman" w:hAnsi="Times New Roman" w:eastAsia="宋体" w:cs="Times New Roman"/>
          <w:lang w:val="en-US" w:eastAsia="zh-CN"/>
        </w:rPr>
        <w:t>are expected to be</w:t>
      </w:r>
      <w:r>
        <w:rPr>
          <w:rFonts w:hint="default" w:ascii="Times New Roman" w:hAnsi="Times New Roman" w:eastAsia="宋体" w:cs="Times New Roman"/>
          <w:lang w:val="en-US" w:eastAsia="zh-CN"/>
        </w:rPr>
        <w:t xml:space="preserve"> measured</w:t>
      </w:r>
      <w:r>
        <w:rPr>
          <w:rFonts w:hint="eastAsia" w:ascii="Times New Roman" w:hAnsi="Times New Roman" w:eastAsia="宋体" w:cs="Times New Roman"/>
          <w:lang w:val="en-US" w:eastAsia="zh-CN"/>
        </w:rPr>
        <w:t xml:space="preserve"> more</w:t>
      </w:r>
      <w:r>
        <w:rPr>
          <w:rFonts w:hint="default" w:ascii="Times New Roman" w:hAnsi="Times New Roman" w:eastAsia="宋体" w:cs="Times New Roman"/>
          <w:lang w:val="en-US" w:eastAsia="zh-CN"/>
        </w:rPr>
        <w:t xml:space="preserve"> accurately at least and the initial transmission output power</w:t>
      </w:r>
      <w:r>
        <w:rPr>
          <w:rFonts w:hint="eastAsia" w:ascii="Times New Roman" w:hAnsi="Times New Roman" w:eastAsia="宋体" w:cs="Times New Roman"/>
          <w:lang w:val="en-US" w:eastAsia="zh-CN"/>
        </w:rPr>
        <w:t xml:space="preserve"> due to high antenna array gain and intended deployment scenarios.</w:t>
      </w:r>
    </w:p>
    <w:p>
      <w:pPr>
        <w:pStyle w:val="37"/>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In</w:t>
      </w:r>
      <w:r>
        <w:rPr>
          <w:rFonts w:hint="eastAsia" w:ascii="Times New Roman" w:hAnsi="Times New Roman" w:eastAsia="宋体" w:cs="Times New Roman"/>
          <w:lang w:val="en-US" w:eastAsia="zh-CN"/>
        </w:rPr>
        <w:t xml:space="preserve"> addition</w:t>
      </w:r>
      <w:r>
        <w:rPr>
          <w:rFonts w:hint="default" w:ascii="Times New Roman" w:hAnsi="Times New Roman" w:eastAsia="宋体" w:cs="Times New Roman"/>
          <w:lang w:val="en-US" w:eastAsia="zh-CN"/>
        </w:rPr>
        <w:t>, for FR1 NR absolute power accuracy requirement inherited from LTE and WCDMA spec where the received SNR for RSCP in</w:t>
      </w:r>
      <w:bookmarkStart w:id="8" w:name="OLE_LINK4"/>
      <w:r>
        <w:rPr>
          <w:rFonts w:hint="default" w:ascii="Times New Roman" w:hAnsi="Times New Roman" w:eastAsia="宋体" w:cs="Times New Roman"/>
          <w:lang w:val="en-US" w:eastAsia="zh-CN"/>
        </w:rPr>
        <w:t xml:space="preserve"> WCDMA or RSRP in LTE is -6dB which is much less than achieved SNR for IAB backhaul transmission.</w:t>
      </w:r>
      <w:bookmarkEnd w:id="8"/>
      <w:r>
        <w:rPr>
          <w:rFonts w:hint="default" w:ascii="Times New Roman" w:hAnsi="Times New Roman" w:eastAsia="宋体" w:cs="Times New Roman"/>
          <w:lang w:val="en-US" w:eastAsia="zh-CN"/>
        </w:rPr>
        <w:t xml:space="preserve"> Similar story sis expected for FR2 NR UE</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I</w:t>
      </w:r>
      <w:r>
        <w:rPr>
          <w:rFonts w:hint="default" w:ascii="Times New Roman" w:hAnsi="Times New Roman" w:eastAsia="宋体" w:cs="Times New Roman"/>
          <w:lang w:val="en-US" w:eastAsia="zh-CN"/>
        </w:rPr>
        <w:t xml:space="preserve">n other words, the UE absolute power accuracy requirement is not needed for </w:t>
      </w:r>
      <w:r>
        <w:rPr>
          <w:rFonts w:hint="eastAsia" w:ascii="Times New Roman" w:hAnsi="Times New Roman" w:eastAsia="宋体" w:cs="Times New Roman"/>
          <w:lang w:val="en-US" w:eastAsia="zh-CN"/>
        </w:rPr>
        <w:t xml:space="preserve">IAB-MT. </w:t>
      </w:r>
    </w:p>
    <w:p>
      <w:pPr>
        <w:pStyle w:val="37"/>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Based on the above considerations, at least legacy UE requirement under the relative lower SNR condition could be used as baseline for IAB-MT if necessary.</w:t>
      </w:r>
    </w:p>
    <w:p>
      <w:pPr>
        <w:pStyle w:val="37"/>
        <w:rPr>
          <w:rFonts w:hint="eastAsia" w:ascii="Times New Roman" w:hAnsi="Times New Roman" w:eastAsia="宋体" w:cs="Times New Roman"/>
          <w:b/>
          <w:bCs/>
          <w:highlight w:val="none"/>
          <w:lang w:val="en-US" w:eastAsia="zh-CN"/>
        </w:rPr>
      </w:pPr>
      <w:bookmarkStart w:id="9" w:name="OLE_LINK15"/>
      <w:r>
        <w:rPr>
          <w:rFonts w:hint="default" w:ascii="Times New Roman" w:hAnsi="Times New Roman" w:eastAsia="宋体" w:cs="Times New Roman"/>
          <w:b/>
          <w:bCs/>
          <w:highlight w:val="none"/>
          <w:lang w:val="en-US" w:eastAsia="zh-CN"/>
        </w:rPr>
        <w:t xml:space="preserve">Proposal </w:t>
      </w:r>
      <w:r>
        <w:rPr>
          <w:rFonts w:hint="eastAsia" w:ascii="Times New Roman" w:hAnsi="Times New Roman" w:eastAsia="宋体" w:cs="Times New Roman"/>
          <w:b/>
          <w:bCs/>
          <w:highlight w:val="none"/>
          <w:lang w:val="en-US" w:eastAsia="zh-CN"/>
        </w:rPr>
        <w:t>5</w:t>
      </w:r>
      <w:r>
        <w:rPr>
          <w:rFonts w:hint="default" w:ascii="Times New Roman" w:hAnsi="Times New Roman" w:eastAsia="宋体" w:cs="Times New Roman"/>
          <w:b/>
          <w:bCs/>
          <w:highlight w:val="none"/>
          <w:lang w:val="en-US" w:eastAsia="zh-CN"/>
        </w:rPr>
        <w:t xml:space="preserve">: </w:t>
      </w:r>
      <w:r>
        <w:rPr>
          <w:rFonts w:hint="eastAsia" w:ascii="Times New Roman" w:hAnsi="Times New Roman" w:eastAsia="宋体" w:cs="Times New Roman"/>
          <w:b/>
          <w:bCs/>
          <w:highlight w:val="none"/>
          <w:lang w:val="en-US" w:eastAsia="zh-CN"/>
        </w:rPr>
        <w:t xml:space="preserve">to use legacy </w:t>
      </w:r>
      <w:r>
        <w:rPr>
          <w:rFonts w:hint="default" w:ascii="Times New Roman" w:hAnsi="Times New Roman" w:eastAsia="宋体" w:cs="Times New Roman"/>
          <w:b/>
          <w:bCs/>
          <w:highlight w:val="none"/>
          <w:lang w:val="en-US" w:eastAsia="zh-CN"/>
        </w:rPr>
        <w:t>UE absolute power accuracy</w:t>
      </w:r>
      <w:bookmarkEnd w:id="9"/>
      <w:r>
        <w:rPr>
          <w:rFonts w:hint="eastAsia" w:ascii="Times New Roman" w:hAnsi="Times New Roman" w:eastAsia="宋体" w:cs="Times New Roman"/>
          <w:b/>
          <w:bCs/>
          <w:highlight w:val="none"/>
          <w:lang w:val="en-US" w:eastAsia="zh-CN"/>
        </w:rPr>
        <w:t xml:space="preserve"> as baseline for IAB-MT.</w:t>
      </w:r>
    </w:p>
    <w:p>
      <w:pPr>
        <w:pStyle w:val="37"/>
        <w:rPr>
          <w:rFonts w:hint="default" w:ascii="Times New Roman" w:hAnsi="Times New Roman" w:eastAsia="宋体" w:cs="Times New Roman"/>
          <w:b/>
          <w:bCs/>
          <w:highlight w:val="none"/>
          <w:lang w:val="en-US" w:eastAsia="zh-CN"/>
        </w:rPr>
      </w:pPr>
    </w:p>
    <w:bookmarkEnd w:id="5"/>
    <w:p>
      <w:pPr>
        <w:pStyle w:val="37"/>
        <w:keepNext w:val="0"/>
        <w:keepLines w:val="0"/>
        <w:pageBreakBefore w:val="0"/>
        <w:widowControl w:val="0"/>
        <w:kinsoku/>
        <w:wordWrap/>
        <w:overflowPunct/>
        <w:topLinePunct w:val="0"/>
        <w:autoSpaceDE/>
        <w:autoSpaceDN/>
        <w:bidi w:val="0"/>
        <w:adjustRightInd/>
        <w:snapToGrid/>
        <w:textAlignment w:val="auto"/>
        <w:outlineLvl w:val="2"/>
        <w:rPr>
          <w:rFonts w:hint="eastAsia" w:ascii="Times New Roman" w:hAnsi="Times New Roman"/>
          <w:szCs w:val="21"/>
          <w:highlight w:val="none"/>
          <w:lang w:val="en-US" w:eastAsia="zh-CN"/>
        </w:rPr>
      </w:pPr>
      <w:r>
        <w:rPr>
          <w:rFonts w:hint="eastAsia" w:ascii="Times New Roman" w:hAnsi="Times New Roman"/>
          <w:b/>
          <w:bCs/>
          <w:szCs w:val="21"/>
          <w:lang w:val="en-US" w:eastAsia="zh-CN"/>
        </w:rPr>
        <w:t xml:space="preserve">2.3.2 Relative power tolerance </w:t>
      </w:r>
    </w:p>
    <w:p>
      <w:pPr>
        <w:pStyle w:val="37"/>
        <w:jc w:val="both"/>
        <w:rPr>
          <w:rFonts w:hint="default" w:ascii="Times New Roman" w:hAnsi="Times New Roman"/>
          <w:szCs w:val="21"/>
          <w:highlight w:val="none"/>
          <w:lang w:val="en-US" w:eastAsia="zh-CN"/>
        </w:rPr>
      </w:pPr>
      <w:bookmarkStart w:id="10" w:name="OLE_LINK18"/>
      <w:r>
        <w:rPr>
          <w:rFonts w:hint="eastAsia" w:ascii="Times New Roman" w:hAnsi="Times New Roman"/>
          <w:szCs w:val="21"/>
          <w:highlight w:val="none"/>
          <w:lang w:val="en-US" w:eastAsia="zh-CN"/>
        </w:rPr>
        <w:t xml:space="preserve">Regarding the relative power tolerance, in the legacy NR UE spec, there are small step size specified with relative small tolerance and medium step size/large step size with relatively larger tolerance. However as mentioned before, IAB Tx dynamic range might be limited within 5dB which is much less than the existing step size specified. In addition, in the past, the relative tolerance was evaluated on PUCCH ACK/NACK error ratio and capacity loss, however for the link between different IAB nodes, the expected SNR should be much better than legacy NR UE.In other words, the relative power tolerance could be relaxed slightly. </w:t>
      </w:r>
    </w:p>
    <w:p>
      <w:pPr>
        <w:pStyle w:val="37"/>
        <w:jc w:val="both"/>
        <w:rPr>
          <w:rFonts w:hint="default" w:ascii="Times New Roman" w:hAnsi="Times New Roman"/>
          <w:szCs w:val="21"/>
          <w:highlight w:val="none"/>
          <w:lang w:val="en-US" w:eastAsia="zh-CN"/>
        </w:rPr>
      </w:pPr>
      <w:r>
        <w:rPr>
          <w:rFonts w:hint="eastAsia" w:ascii="Times New Roman" w:hAnsi="Times New Roman"/>
          <w:szCs w:val="21"/>
          <w:highlight w:val="none"/>
          <w:lang w:val="en-US" w:eastAsia="zh-CN"/>
        </w:rPr>
        <w:t>In addition, regarding 20ms transmission gap, it was defined for VoIP service or SPS service between BS and UE, however for local area IAB-MT , this value might be used as baseline as it</w:t>
      </w:r>
      <w:r>
        <w:rPr>
          <w:rFonts w:hint="default" w:ascii="Times New Roman" w:hAnsi="Times New Roman"/>
          <w:szCs w:val="21"/>
          <w:highlight w:val="none"/>
          <w:lang w:val="en-US" w:eastAsia="zh-CN"/>
        </w:rPr>
        <w:t>’</w:t>
      </w:r>
      <w:r>
        <w:rPr>
          <w:rFonts w:hint="eastAsia" w:ascii="Times New Roman" w:hAnsi="Times New Roman"/>
          <w:szCs w:val="21"/>
          <w:highlight w:val="none"/>
          <w:lang w:val="en-US" w:eastAsia="zh-CN"/>
        </w:rPr>
        <w:t xml:space="preserve">s expected as relative longer time than backhaul transmission. </w:t>
      </w:r>
    </w:p>
    <w:p>
      <w:pPr>
        <w:pStyle w:val="37"/>
        <w:jc w:val="both"/>
        <w:rPr>
          <w:rFonts w:hint="default" w:ascii="Times New Roman" w:hAnsi="Times New Roman"/>
          <w:szCs w:val="21"/>
          <w:highlight w:val="none"/>
          <w:lang w:val="en-US" w:eastAsia="zh-CN"/>
        </w:rPr>
      </w:pPr>
      <w:r>
        <w:rPr>
          <w:rFonts w:hint="eastAsia" w:ascii="Times New Roman" w:hAnsi="Times New Roman"/>
          <w:szCs w:val="21"/>
          <w:highlight w:val="none"/>
          <w:lang w:val="en-US" w:eastAsia="zh-CN"/>
        </w:rPr>
        <w:t>In addition, for local area IAB-MT, the relative power step is limited to 5dB, power steps are not needed to down to 15dB.</w:t>
      </w:r>
    </w:p>
    <w:bookmarkEnd w:id="10"/>
    <w:p>
      <w:pPr>
        <w:pStyle w:val="37"/>
        <w:rPr>
          <w:rFonts w:hint="default" w:ascii="Times New Roman" w:hAnsi="Times New Roman" w:eastAsia="宋体" w:cs="Times New Roman"/>
          <w:b/>
          <w:bCs/>
          <w:lang w:val="en-US" w:eastAsia="zh-CN"/>
        </w:rPr>
      </w:pPr>
      <w:bookmarkStart w:id="11" w:name="OLE_LINK17"/>
      <w:r>
        <w:rPr>
          <w:rFonts w:hint="eastAsia" w:ascii="Times New Roman" w:hAnsi="Times New Roman" w:eastAsia="宋体" w:cs="Times New Roman"/>
          <w:b/>
          <w:bCs/>
          <w:lang w:val="en-US" w:eastAsia="zh-CN"/>
        </w:rPr>
        <w:t>Proposal 6: to use legacy UE relative power tolerance as baseline for IAB-MT with some tailoring considering Tx dynamic range as 5dB for IAB-MT.</w:t>
      </w:r>
    </w:p>
    <w:bookmarkEnd w:id="11"/>
    <w:p>
      <w:pPr>
        <w:pStyle w:val="37"/>
        <w:jc w:val="both"/>
        <w:rPr>
          <w:rFonts w:hint="eastAsia" w:ascii="Times New Roman" w:hAnsi="Times New Roman"/>
          <w:szCs w:val="21"/>
          <w:highlight w:val="yellow"/>
          <w:lang w:val="en-US" w:eastAsia="zh-CN"/>
        </w:rPr>
      </w:pPr>
    </w:p>
    <w:p>
      <w:pPr>
        <w:pStyle w:val="37"/>
        <w:keepNext w:val="0"/>
        <w:keepLines w:val="0"/>
        <w:pageBreakBefore w:val="0"/>
        <w:widowControl w:val="0"/>
        <w:kinsoku/>
        <w:wordWrap/>
        <w:overflowPunct/>
        <w:topLinePunct w:val="0"/>
        <w:autoSpaceDE/>
        <w:autoSpaceDN/>
        <w:bidi w:val="0"/>
        <w:adjustRightInd/>
        <w:snapToGrid/>
        <w:textAlignment w:val="auto"/>
        <w:outlineLvl w:val="2"/>
        <w:rPr>
          <w:rFonts w:hint="eastAsia" w:ascii="Times New Roman" w:hAnsi="Times New Roman"/>
          <w:szCs w:val="21"/>
          <w:highlight w:val="none"/>
          <w:lang w:val="en-US" w:eastAsia="zh-CN"/>
        </w:rPr>
      </w:pPr>
      <w:r>
        <w:rPr>
          <w:rFonts w:hint="eastAsia" w:ascii="Times New Roman" w:hAnsi="Times New Roman"/>
          <w:b/>
          <w:bCs/>
          <w:szCs w:val="21"/>
          <w:lang w:val="en-US" w:eastAsia="zh-CN"/>
        </w:rPr>
        <w:t xml:space="preserve">2.3.3 Aggregated power tolerance </w:t>
      </w:r>
    </w:p>
    <w:p>
      <w:pPr>
        <w:pStyle w:val="37"/>
        <w:jc w:val="both"/>
        <w:rPr>
          <w:rFonts w:hint="eastAsia" w:ascii="Times New Roman" w:hAnsi="Times New Roman"/>
          <w:szCs w:val="21"/>
          <w:highlight w:val="none"/>
          <w:lang w:val="en-US" w:eastAsia="zh-CN"/>
        </w:rPr>
      </w:pPr>
      <w:r>
        <w:rPr>
          <w:rFonts w:hint="eastAsia" w:ascii="Times New Roman" w:hAnsi="Times New Roman"/>
          <w:szCs w:val="21"/>
          <w:highlight w:val="none"/>
          <w:lang w:val="en-US" w:eastAsia="zh-CN"/>
        </w:rPr>
        <w:t>Regarding the aggregated power tolerance, in the legacy NR UE spec, it was mainly used to guarantee the power drifting within certain range after multiple TPC command. This might be necessary if multiple TPC command is configured to IAB-MT in consecutive subframes or non-consecutive subframes within [21ms], then IAB-MT power aggregated power tolerance is still essential for the guarantee of uplink PUCCH/PUSCH performance.</w:t>
      </w:r>
    </w:p>
    <w:p>
      <w:pPr>
        <w:pStyle w:val="37"/>
        <w:rPr>
          <w:rFonts w:hint="default" w:ascii="Times New Roman" w:hAnsi="Times New Roman"/>
          <w:szCs w:val="21"/>
          <w:highlight w:val="none"/>
          <w:lang w:val="en-US" w:eastAsia="zh-CN"/>
        </w:rPr>
      </w:pPr>
      <w:r>
        <w:rPr>
          <w:rFonts w:hint="eastAsia" w:ascii="Times New Roman" w:hAnsi="Times New Roman" w:eastAsia="宋体" w:cs="Times New Roman"/>
          <w:b/>
          <w:bCs/>
          <w:lang w:val="en-US" w:eastAsia="zh-CN"/>
        </w:rPr>
        <w:t xml:space="preserve">Proposal 7: to use legacy UE </w:t>
      </w:r>
      <w:r>
        <w:rPr>
          <w:rFonts w:hint="eastAsia" w:ascii="Times New Roman" w:hAnsi="Times New Roman"/>
          <w:b/>
          <w:bCs/>
          <w:szCs w:val="21"/>
          <w:lang w:val="en-US" w:eastAsia="zh-CN"/>
        </w:rPr>
        <w:t>Aggregated power tolerance</w:t>
      </w:r>
      <w:r>
        <w:rPr>
          <w:rFonts w:hint="eastAsia" w:ascii="Times New Roman" w:hAnsi="Times New Roman" w:eastAsia="宋体" w:cs="Times New Roman"/>
          <w:b/>
          <w:bCs/>
          <w:lang w:val="en-US" w:eastAsia="zh-CN"/>
        </w:rPr>
        <w:t xml:space="preserve"> as baseline for IAB-MT.</w:t>
      </w:r>
    </w:p>
    <w:bookmarkEnd w:id="3"/>
    <w:bookmarkEnd w:id="4"/>
    <w:p>
      <w:pPr>
        <w:pStyle w:val="39"/>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41"/>
        <w:rPr>
          <w:rFonts w:hint="eastAsia" w:ascii="Times New Roman" w:hAnsi="Times New Roman"/>
          <w:highlight w:val="none"/>
        </w:rPr>
      </w:pPr>
      <w:r>
        <w:rPr>
          <w:rFonts w:ascii="Times New Roman" w:hAnsi="Times New Roman"/>
          <w:highlight w:val="none"/>
        </w:rPr>
        <w:t>In this contribution, we share</w:t>
      </w:r>
      <w:r>
        <w:rPr>
          <w:rFonts w:hint="eastAsia" w:ascii="Times New Roman" w:hAnsi="Times New Roman"/>
          <w:highlight w:val="none"/>
        </w:rPr>
        <w:t xml:space="preserve">d some further inputs on </w:t>
      </w:r>
      <w:r>
        <w:rPr>
          <w:rFonts w:hint="eastAsia" w:ascii="Times New Roman" w:hAnsi="Times New Roman"/>
          <w:highlight w:val="none"/>
          <w:lang w:val="en-US" w:eastAsia="zh-CN"/>
        </w:rPr>
        <w:t>IAB MT class definition</w:t>
      </w:r>
      <w:r>
        <w:rPr>
          <w:rFonts w:hint="eastAsia" w:ascii="Times New Roman" w:hAnsi="Times New Roman"/>
          <w:highlight w:val="none"/>
        </w:rPr>
        <w:t xml:space="preserve"> and proposals are made as following:</w:t>
      </w:r>
    </w:p>
    <w:p>
      <w:pPr>
        <w:pStyle w:val="37"/>
        <w:jc w:val="both"/>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1: to adopt both option 1 and option 2. </w:t>
      </w:r>
    </w:p>
    <w:p>
      <w:pPr>
        <w:pStyle w:val="37"/>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Proposal 2: to adopt option 2.</w:t>
      </w:r>
    </w:p>
    <w:p>
      <w:pPr>
        <w:pStyle w:val="37"/>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3: to use the same scaling factor as IAB-MT 1-H for IAB-MT 1-O.</w:t>
      </w:r>
    </w:p>
    <w:p>
      <w:pPr>
        <w:pStyle w:val="37"/>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ascii="Times New Roman" w:hAnsi="Times New Roman" w:cs="Times New Roman"/>
          <w:b/>
          <w:bCs/>
          <w:lang w:val="en-US" w:eastAsia="zh-CN"/>
        </w:rPr>
        <w:t>4</w:t>
      </w:r>
      <w:r>
        <w:rPr>
          <w:rFonts w:hint="default" w:ascii="Times New Roman" w:hAnsi="Times New Roman" w:cs="Times New Roman"/>
          <w:b/>
          <w:bCs/>
          <w:lang w:val="en-US" w:eastAsia="zh-CN"/>
        </w:rPr>
        <w:t>: to adopt option 1 for both WA and Local area IAB-MT with MPR and A-MPR up to vendors’ declaration;</w:t>
      </w:r>
    </w:p>
    <w:p>
      <w:pPr>
        <w:pStyle w:val="37"/>
        <w:rPr>
          <w:rFonts w:hint="eastAsia"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 xml:space="preserve">Proposal </w:t>
      </w:r>
      <w:r>
        <w:rPr>
          <w:rFonts w:hint="eastAsia" w:ascii="Times New Roman" w:hAnsi="Times New Roman" w:eastAsia="宋体" w:cs="Times New Roman"/>
          <w:b/>
          <w:bCs/>
          <w:highlight w:val="none"/>
          <w:lang w:val="en-US" w:eastAsia="zh-CN"/>
        </w:rPr>
        <w:t>5</w:t>
      </w:r>
      <w:r>
        <w:rPr>
          <w:rFonts w:hint="default" w:ascii="Times New Roman" w:hAnsi="Times New Roman" w:eastAsia="宋体" w:cs="Times New Roman"/>
          <w:b/>
          <w:bCs/>
          <w:highlight w:val="none"/>
          <w:lang w:val="en-US" w:eastAsia="zh-CN"/>
        </w:rPr>
        <w:t xml:space="preserve">: </w:t>
      </w:r>
      <w:r>
        <w:rPr>
          <w:rFonts w:hint="eastAsia" w:ascii="Times New Roman" w:hAnsi="Times New Roman" w:eastAsia="宋体" w:cs="Times New Roman"/>
          <w:b/>
          <w:bCs/>
          <w:highlight w:val="none"/>
          <w:lang w:val="en-US" w:eastAsia="zh-CN"/>
        </w:rPr>
        <w:t xml:space="preserve">to use legacy </w:t>
      </w:r>
      <w:r>
        <w:rPr>
          <w:rFonts w:hint="default" w:ascii="Times New Roman" w:hAnsi="Times New Roman" w:eastAsia="宋体" w:cs="Times New Roman"/>
          <w:b/>
          <w:bCs/>
          <w:highlight w:val="none"/>
          <w:lang w:val="en-US" w:eastAsia="zh-CN"/>
        </w:rPr>
        <w:t>UE absolute power accuracy</w:t>
      </w:r>
      <w:r>
        <w:rPr>
          <w:rFonts w:hint="eastAsia" w:ascii="Times New Roman" w:hAnsi="Times New Roman" w:eastAsia="宋体" w:cs="Times New Roman"/>
          <w:b/>
          <w:bCs/>
          <w:highlight w:val="none"/>
          <w:lang w:val="en-US" w:eastAsia="zh-CN"/>
        </w:rPr>
        <w:t xml:space="preserve"> as baseline for IAB-MT.</w:t>
      </w:r>
    </w:p>
    <w:p>
      <w:pPr>
        <w:pStyle w:val="37"/>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6: to use legacy UE relative power tolerance as baseline for IAB-MT with some tailoring considering Tx dynamic range as 5dB for IAB-MT.</w:t>
      </w:r>
    </w:p>
    <w:p>
      <w:pPr>
        <w:pStyle w:val="37"/>
        <w:rPr>
          <w:rFonts w:hint="default" w:ascii="Times New Roman" w:hAnsi="Times New Roman"/>
          <w:szCs w:val="21"/>
          <w:highlight w:val="none"/>
          <w:lang w:val="en-US" w:eastAsia="zh-CN"/>
        </w:rPr>
      </w:pPr>
      <w:r>
        <w:rPr>
          <w:rFonts w:hint="eastAsia" w:ascii="Times New Roman" w:hAnsi="Times New Roman" w:eastAsia="宋体" w:cs="Times New Roman"/>
          <w:b/>
          <w:bCs/>
          <w:lang w:val="en-US" w:eastAsia="zh-CN"/>
        </w:rPr>
        <w:t xml:space="preserve">Proposal 7: to use legacy UE </w:t>
      </w:r>
      <w:r>
        <w:rPr>
          <w:rFonts w:hint="eastAsia" w:ascii="Times New Roman" w:hAnsi="Times New Roman"/>
          <w:b/>
          <w:bCs/>
          <w:szCs w:val="21"/>
          <w:lang w:val="en-US" w:eastAsia="zh-CN"/>
        </w:rPr>
        <w:t>Aggregated power tolerance</w:t>
      </w:r>
      <w:r>
        <w:rPr>
          <w:rFonts w:hint="eastAsia" w:ascii="Times New Roman" w:hAnsi="Times New Roman" w:eastAsia="宋体" w:cs="Times New Roman"/>
          <w:b/>
          <w:bCs/>
          <w:lang w:val="en-US" w:eastAsia="zh-CN"/>
        </w:rPr>
        <w:t xml:space="preserve"> as baseline for IAB-MT.</w:t>
      </w:r>
    </w:p>
    <w:p>
      <w:pPr>
        <w:pStyle w:val="39"/>
        <w:tabs>
          <w:tab w:val="left" w:pos="567"/>
          <w:tab w:val="clear" w:pos="1985"/>
        </w:tabs>
        <w:adjustRightInd w:val="0"/>
        <w:ind w:left="510" w:hanging="510"/>
        <w:rPr>
          <w:rFonts w:hint="eastAsia"/>
          <w:highlight w:val="none"/>
        </w:rPr>
      </w:pPr>
      <w:r>
        <w:rPr>
          <w:highlight w:val="none"/>
        </w:rPr>
        <w:t>References</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38" w:beforeAutospacing="0" w:after="0" w:afterAutospacing="0" w:line="288" w:lineRule="auto"/>
        <w:ind w:left="363" w:hanging="363"/>
        <w:jc w:val="left"/>
        <w:textAlignment w:val="baseline"/>
        <w:outlineLvl w:val="9"/>
        <w:rPr>
          <w:rFonts w:hint="eastAsia" w:ascii="Times New Roman" w:hAnsi="Times New Roman"/>
          <w:kern w:val="2"/>
          <w:sz w:val="21"/>
          <w:szCs w:val="24"/>
          <w:highlight w:val="none"/>
          <w:lang w:val="en-US" w:eastAsia="zh-CN" w:bidi="ar-SA"/>
        </w:rPr>
      </w:pPr>
      <w:r>
        <w:rPr>
          <w:rFonts w:hint="eastAsia" w:ascii="Times New Roman" w:hAnsi="Times New Roman"/>
          <w:kern w:val="2"/>
          <w:sz w:val="21"/>
          <w:szCs w:val="24"/>
          <w:highlight w:val="none"/>
          <w:lang w:val="en-US" w:eastAsia="zh-CN" w:bidi="ar-SA"/>
        </w:rPr>
        <w:t>R4-2008773 WF on IAB-MT maximum output power and scaling factor for emission mask, Ericsson, approved</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38" w:beforeAutospacing="0" w:after="0" w:afterAutospacing="0" w:line="288" w:lineRule="auto"/>
        <w:ind w:left="363" w:hanging="363"/>
        <w:jc w:val="left"/>
        <w:textAlignment w:val="baseline"/>
        <w:outlineLvl w:val="9"/>
        <w:rPr>
          <w:rFonts w:hint="eastAsia" w:ascii="Times New Roman" w:hAnsi="Times New Roman"/>
          <w:kern w:val="2"/>
          <w:sz w:val="21"/>
          <w:szCs w:val="24"/>
          <w:highlight w:val="none"/>
          <w:lang w:val="en-US" w:eastAsia="zh-CN" w:bidi="ar-SA"/>
        </w:rPr>
      </w:pPr>
      <w:r>
        <w:rPr>
          <w:rFonts w:hint="eastAsia" w:ascii="Times New Roman" w:hAnsi="Times New Roman"/>
          <w:kern w:val="2"/>
          <w:sz w:val="21"/>
          <w:szCs w:val="24"/>
          <w:highlight w:val="none"/>
          <w:lang w:val="en-US" w:eastAsia="zh-CN" w:bidi="ar-SA"/>
        </w:rPr>
        <w:t>R4-2008774,WF on IAB-MT Pc,max definition, Samsung, approved.</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38" w:beforeAutospacing="0" w:after="0" w:afterAutospacing="0" w:line="288" w:lineRule="auto"/>
        <w:ind w:left="363" w:hanging="363"/>
        <w:jc w:val="left"/>
        <w:textAlignment w:val="baseline"/>
        <w:outlineLvl w:val="9"/>
        <w:rPr>
          <w:rFonts w:hint="eastAsia" w:ascii="Times New Roman" w:hAnsi="Times New Roman"/>
          <w:kern w:val="2"/>
          <w:sz w:val="21"/>
          <w:szCs w:val="24"/>
          <w:highlight w:val="none"/>
          <w:lang w:val="en-US" w:eastAsia="zh-CN" w:bidi="ar-SA"/>
        </w:rPr>
      </w:pPr>
      <w:r>
        <w:rPr>
          <w:rFonts w:hint="eastAsia" w:ascii="Times New Roman" w:hAnsi="Times New Roman"/>
          <w:kern w:val="2"/>
          <w:sz w:val="21"/>
          <w:szCs w:val="24"/>
          <w:highlight w:val="none"/>
          <w:lang w:val="en-US" w:eastAsia="zh-CN" w:bidi="ar-SA"/>
        </w:rPr>
        <w:t>R4-2008775,</w:t>
      </w:r>
      <w:r>
        <w:rPr>
          <w:rFonts w:hint="default" w:ascii="Times New Roman" w:hAnsi="Times New Roman"/>
          <w:kern w:val="2"/>
          <w:sz w:val="21"/>
          <w:szCs w:val="24"/>
          <w:highlight w:val="none"/>
          <w:lang w:val="en-US" w:eastAsia="zh-CN" w:bidi="ar-SA"/>
        </w:rPr>
        <w:t>WF on IAB-MT output power dynamic, QC</w:t>
      </w:r>
      <w:r>
        <w:rPr>
          <w:rFonts w:hint="eastAsia" w:ascii="Times New Roman" w:hAnsi="Times New Roman"/>
          <w:kern w:val="2"/>
          <w:sz w:val="21"/>
          <w:szCs w:val="24"/>
          <w:highlight w:val="none"/>
          <w:lang w:val="en-US" w:eastAsia="zh-CN" w:bidi="ar-SA"/>
        </w:rPr>
        <w:t>, approved.</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38" w:beforeAutospacing="0" w:after="0" w:afterAutospacing="0" w:line="288" w:lineRule="auto"/>
        <w:ind w:leftChars="0"/>
        <w:jc w:val="left"/>
        <w:textAlignment w:val="baseline"/>
        <w:outlineLvl w:val="9"/>
        <w:rPr>
          <w:rFonts w:hint="eastAsia" w:ascii="Times New Roman" w:hAnsi="Times New Roman"/>
          <w:kern w:val="2"/>
          <w:sz w:val="21"/>
          <w:szCs w:val="24"/>
          <w:highlight w:val="none"/>
          <w:lang w:val="en-US" w:eastAsia="zh-CN" w:bidi="ar-SA"/>
        </w:rPr>
      </w:pPr>
    </w:p>
    <w:p>
      <w:pPr>
        <w:numPr>
          <w:ilvl w:val="0"/>
          <w:numId w:val="0"/>
        </w:numPr>
        <w:rPr>
          <w:rFonts w:hint="eastAsia" w:ascii="Times New Roman" w:hAnsi="Times New Roman"/>
          <w:szCs w:val="24"/>
          <w:highlight w:val="none"/>
        </w:rPr>
      </w:pPr>
    </w:p>
    <w:p>
      <w:pPr>
        <w:numPr>
          <w:ilvl w:val="0"/>
          <w:numId w:val="0"/>
        </w:numPr>
        <w:rPr>
          <w:rFonts w:hint="eastAsia" w:ascii="Times New Roman" w:hAnsi="Times New Roman"/>
          <w:szCs w:val="24"/>
          <w:highlight w:val="none"/>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4F846F"/>
    <w:multiLevelType w:val="singleLevel"/>
    <w:tmpl w:val="DE4F846F"/>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3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D9E0DAC"/>
    <w:multiLevelType w:val="singleLevel"/>
    <w:tmpl w:val="7D9E0DAC"/>
    <w:lvl w:ilvl="0" w:tentative="0">
      <w:start w:val="1"/>
      <w:numFmt w:val="bullet"/>
      <w:lvlText w:val=""/>
      <w:lvlJc w:val="left"/>
      <w:pPr>
        <w:ind w:left="420" w:hanging="420"/>
      </w:pPr>
      <w:rPr>
        <w:rFonts w:hint="default" w:ascii="Wingdings" w:hAnsi="Wingdings"/>
      </w:rPr>
    </w:lvl>
  </w:abstractNum>
  <w:abstractNum w:abstractNumId="4">
    <w:nsid w:val="7F1E6499"/>
    <w:multiLevelType w:val="multilevel"/>
    <w:tmpl w:val="7F1E6499"/>
    <w:lvl w:ilvl="0" w:tentative="0">
      <w:start w:val="6"/>
      <w:numFmt w:val="bullet"/>
      <w:lvlText w:val="-"/>
      <w:lvlJc w:val="left"/>
      <w:pPr>
        <w:ind w:left="420" w:hanging="420"/>
      </w:pPr>
      <w:rPr>
        <w:rFonts w:hint="default" w:ascii="Calibri" w:hAnsi="Calibri" w:eastAsia="Calibri" w:cs="Calibri"/>
      </w:rPr>
    </w:lvl>
    <w:lvl w:ilvl="1" w:tentative="0">
      <w:start w:val="6"/>
      <w:numFmt w:val="bullet"/>
      <w:lvlText w:val="-"/>
      <w:lvlJc w:val="left"/>
      <w:pPr>
        <w:ind w:left="840" w:hanging="420"/>
      </w:pPr>
      <w:rPr>
        <w:rFonts w:hint="default" w:ascii="Calibri" w:hAnsi="Calibri" w:eastAsia="Calibri" w:cs="Calibri"/>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AAC"/>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90"/>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0FE"/>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836"/>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D75"/>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518FC"/>
    <w:rsid w:val="01E1598F"/>
    <w:rsid w:val="01F60577"/>
    <w:rsid w:val="021D2604"/>
    <w:rsid w:val="022F66E0"/>
    <w:rsid w:val="0238292F"/>
    <w:rsid w:val="024C13AB"/>
    <w:rsid w:val="028748E0"/>
    <w:rsid w:val="02A47CF4"/>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4D060A8"/>
    <w:rsid w:val="051034CD"/>
    <w:rsid w:val="053E1AC2"/>
    <w:rsid w:val="05533ADD"/>
    <w:rsid w:val="05583DC1"/>
    <w:rsid w:val="056E7448"/>
    <w:rsid w:val="05816D10"/>
    <w:rsid w:val="05930F73"/>
    <w:rsid w:val="05BE42A5"/>
    <w:rsid w:val="05D16BC6"/>
    <w:rsid w:val="05EE3B4E"/>
    <w:rsid w:val="060D249E"/>
    <w:rsid w:val="06431839"/>
    <w:rsid w:val="06474EFD"/>
    <w:rsid w:val="064A35EA"/>
    <w:rsid w:val="064B521E"/>
    <w:rsid w:val="067570AB"/>
    <w:rsid w:val="06836FEC"/>
    <w:rsid w:val="068523FB"/>
    <w:rsid w:val="069D1AAE"/>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5C424B"/>
    <w:rsid w:val="076053EE"/>
    <w:rsid w:val="077F542D"/>
    <w:rsid w:val="077F5D16"/>
    <w:rsid w:val="07817B19"/>
    <w:rsid w:val="07916BE4"/>
    <w:rsid w:val="07AA3E51"/>
    <w:rsid w:val="07DD018B"/>
    <w:rsid w:val="07E014BE"/>
    <w:rsid w:val="07E85751"/>
    <w:rsid w:val="07F128BA"/>
    <w:rsid w:val="0835476E"/>
    <w:rsid w:val="085D6C7E"/>
    <w:rsid w:val="08611CAF"/>
    <w:rsid w:val="0865781A"/>
    <w:rsid w:val="0866133E"/>
    <w:rsid w:val="08813C88"/>
    <w:rsid w:val="089852F1"/>
    <w:rsid w:val="089D6B7D"/>
    <w:rsid w:val="08B21918"/>
    <w:rsid w:val="08B94847"/>
    <w:rsid w:val="08C14001"/>
    <w:rsid w:val="09582472"/>
    <w:rsid w:val="096308E4"/>
    <w:rsid w:val="096F1D52"/>
    <w:rsid w:val="09796C44"/>
    <w:rsid w:val="098344BC"/>
    <w:rsid w:val="09863DEF"/>
    <w:rsid w:val="09A64698"/>
    <w:rsid w:val="09AC5074"/>
    <w:rsid w:val="09AD07F3"/>
    <w:rsid w:val="09B14A34"/>
    <w:rsid w:val="09D84744"/>
    <w:rsid w:val="0A093274"/>
    <w:rsid w:val="0A2705E1"/>
    <w:rsid w:val="0A2A6A0B"/>
    <w:rsid w:val="0A312533"/>
    <w:rsid w:val="0A3A0D5D"/>
    <w:rsid w:val="0A5056C6"/>
    <w:rsid w:val="0A5060D6"/>
    <w:rsid w:val="0A7200B0"/>
    <w:rsid w:val="0A771CA5"/>
    <w:rsid w:val="0A843B9D"/>
    <w:rsid w:val="0A8621F2"/>
    <w:rsid w:val="0A8D1A1A"/>
    <w:rsid w:val="0A8F1F9F"/>
    <w:rsid w:val="0A9B6BF5"/>
    <w:rsid w:val="0AB329A9"/>
    <w:rsid w:val="0ABA1933"/>
    <w:rsid w:val="0ACD4245"/>
    <w:rsid w:val="0B110AC0"/>
    <w:rsid w:val="0B1157EF"/>
    <w:rsid w:val="0B1765E0"/>
    <w:rsid w:val="0B1C1D7C"/>
    <w:rsid w:val="0B22066E"/>
    <w:rsid w:val="0B2646B6"/>
    <w:rsid w:val="0B3F2432"/>
    <w:rsid w:val="0B4D5218"/>
    <w:rsid w:val="0B622E13"/>
    <w:rsid w:val="0B717521"/>
    <w:rsid w:val="0B892782"/>
    <w:rsid w:val="0BA10D1B"/>
    <w:rsid w:val="0BB2460A"/>
    <w:rsid w:val="0BE17727"/>
    <w:rsid w:val="0BF427F9"/>
    <w:rsid w:val="0C0A7AE1"/>
    <w:rsid w:val="0C0C632D"/>
    <w:rsid w:val="0C3C0AB0"/>
    <w:rsid w:val="0C6038EF"/>
    <w:rsid w:val="0C654C73"/>
    <w:rsid w:val="0C751214"/>
    <w:rsid w:val="0C780533"/>
    <w:rsid w:val="0C85742B"/>
    <w:rsid w:val="0C873353"/>
    <w:rsid w:val="0C8B4B61"/>
    <w:rsid w:val="0CA92BAC"/>
    <w:rsid w:val="0CB90F2E"/>
    <w:rsid w:val="0CF2711C"/>
    <w:rsid w:val="0D04575D"/>
    <w:rsid w:val="0D0612B8"/>
    <w:rsid w:val="0D066A9C"/>
    <w:rsid w:val="0D0714BC"/>
    <w:rsid w:val="0D0F5FAD"/>
    <w:rsid w:val="0D1A52C8"/>
    <w:rsid w:val="0D2767B5"/>
    <w:rsid w:val="0D5800C7"/>
    <w:rsid w:val="0D6A353C"/>
    <w:rsid w:val="0DA060E8"/>
    <w:rsid w:val="0DCE36F3"/>
    <w:rsid w:val="0DD621E4"/>
    <w:rsid w:val="0DDE1317"/>
    <w:rsid w:val="0E0313B1"/>
    <w:rsid w:val="0E0D1A47"/>
    <w:rsid w:val="0E3217E8"/>
    <w:rsid w:val="0E5E2B07"/>
    <w:rsid w:val="0E771E51"/>
    <w:rsid w:val="0E8118C0"/>
    <w:rsid w:val="0EB34961"/>
    <w:rsid w:val="0EC468A2"/>
    <w:rsid w:val="0ECE7C5F"/>
    <w:rsid w:val="0EF75D05"/>
    <w:rsid w:val="0F12247A"/>
    <w:rsid w:val="0F164AA2"/>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0FDC6575"/>
    <w:rsid w:val="1001403C"/>
    <w:rsid w:val="10045EE6"/>
    <w:rsid w:val="103A7991"/>
    <w:rsid w:val="10462479"/>
    <w:rsid w:val="104B2D15"/>
    <w:rsid w:val="10674DB0"/>
    <w:rsid w:val="107374A2"/>
    <w:rsid w:val="10886883"/>
    <w:rsid w:val="108A2129"/>
    <w:rsid w:val="10924B2D"/>
    <w:rsid w:val="10953B42"/>
    <w:rsid w:val="10CC5735"/>
    <w:rsid w:val="10FA45D2"/>
    <w:rsid w:val="1100531F"/>
    <w:rsid w:val="11024527"/>
    <w:rsid w:val="110A4489"/>
    <w:rsid w:val="111A28E5"/>
    <w:rsid w:val="112F54D2"/>
    <w:rsid w:val="1133321C"/>
    <w:rsid w:val="11576536"/>
    <w:rsid w:val="117824F0"/>
    <w:rsid w:val="117E2370"/>
    <w:rsid w:val="11B66269"/>
    <w:rsid w:val="11BA0839"/>
    <w:rsid w:val="11F267E8"/>
    <w:rsid w:val="1210456D"/>
    <w:rsid w:val="121729B6"/>
    <w:rsid w:val="122C6138"/>
    <w:rsid w:val="125A02CC"/>
    <w:rsid w:val="12845278"/>
    <w:rsid w:val="128E70AD"/>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44C6544"/>
    <w:rsid w:val="14747F4A"/>
    <w:rsid w:val="14812D74"/>
    <w:rsid w:val="14836C15"/>
    <w:rsid w:val="14862300"/>
    <w:rsid w:val="14A82A63"/>
    <w:rsid w:val="14AC358C"/>
    <w:rsid w:val="14B76730"/>
    <w:rsid w:val="14DE753E"/>
    <w:rsid w:val="151B0462"/>
    <w:rsid w:val="151C45D8"/>
    <w:rsid w:val="15290336"/>
    <w:rsid w:val="155B1745"/>
    <w:rsid w:val="155F651D"/>
    <w:rsid w:val="15655F19"/>
    <w:rsid w:val="157348EB"/>
    <w:rsid w:val="15787FE5"/>
    <w:rsid w:val="157E21FE"/>
    <w:rsid w:val="15AA7A19"/>
    <w:rsid w:val="15AC5259"/>
    <w:rsid w:val="15B06B12"/>
    <w:rsid w:val="15BE3D9D"/>
    <w:rsid w:val="15CA38E7"/>
    <w:rsid w:val="15D4474D"/>
    <w:rsid w:val="15D7597F"/>
    <w:rsid w:val="15F35485"/>
    <w:rsid w:val="16067A68"/>
    <w:rsid w:val="161C3234"/>
    <w:rsid w:val="1641433F"/>
    <w:rsid w:val="165C4863"/>
    <w:rsid w:val="1663476A"/>
    <w:rsid w:val="166C0D1B"/>
    <w:rsid w:val="166C57CF"/>
    <w:rsid w:val="167344C7"/>
    <w:rsid w:val="16794785"/>
    <w:rsid w:val="16A65B92"/>
    <w:rsid w:val="16AD0A57"/>
    <w:rsid w:val="16BA18A0"/>
    <w:rsid w:val="16BC2A78"/>
    <w:rsid w:val="16C41FCF"/>
    <w:rsid w:val="16E7220A"/>
    <w:rsid w:val="16FF1C7A"/>
    <w:rsid w:val="170133DA"/>
    <w:rsid w:val="170259E1"/>
    <w:rsid w:val="170353FD"/>
    <w:rsid w:val="171053FC"/>
    <w:rsid w:val="17382580"/>
    <w:rsid w:val="175E4288"/>
    <w:rsid w:val="17844C56"/>
    <w:rsid w:val="17A30F12"/>
    <w:rsid w:val="17BA48D6"/>
    <w:rsid w:val="17D21E0A"/>
    <w:rsid w:val="17D77CA7"/>
    <w:rsid w:val="17DD34AB"/>
    <w:rsid w:val="17FE0B0A"/>
    <w:rsid w:val="17FE0C9F"/>
    <w:rsid w:val="17FF3C9D"/>
    <w:rsid w:val="18235E85"/>
    <w:rsid w:val="184E443E"/>
    <w:rsid w:val="187640ED"/>
    <w:rsid w:val="18804AA7"/>
    <w:rsid w:val="18A16B9A"/>
    <w:rsid w:val="18B417E1"/>
    <w:rsid w:val="18E872D7"/>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5F7253"/>
    <w:rsid w:val="1A725418"/>
    <w:rsid w:val="1A7A2EF9"/>
    <w:rsid w:val="1A7F4EDC"/>
    <w:rsid w:val="1A960E81"/>
    <w:rsid w:val="1A9A0C93"/>
    <w:rsid w:val="1AB359A1"/>
    <w:rsid w:val="1ABD31B9"/>
    <w:rsid w:val="1ACE2A77"/>
    <w:rsid w:val="1ADA6731"/>
    <w:rsid w:val="1ADC2627"/>
    <w:rsid w:val="1AE73404"/>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956862"/>
    <w:rsid w:val="1C9A166E"/>
    <w:rsid w:val="1CB702E9"/>
    <w:rsid w:val="1CBC5EDB"/>
    <w:rsid w:val="1CBE5026"/>
    <w:rsid w:val="1CF333A5"/>
    <w:rsid w:val="1D0B731D"/>
    <w:rsid w:val="1D2054C4"/>
    <w:rsid w:val="1D563E2F"/>
    <w:rsid w:val="1D6F79AF"/>
    <w:rsid w:val="1D8F5B72"/>
    <w:rsid w:val="1D8F6826"/>
    <w:rsid w:val="1D9A3DAF"/>
    <w:rsid w:val="1D9C5DA0"/>
    <w:rsid w:val="1D9F462B"/>
    <w:rsid w:val="1DA265B5"/>
    <w:rsid w:val="1DA95207"/>
    <w:rsid w:val="1DEC45ED"/>
    <w:rsid w:val="1E224747"/>
    <w:rsid w:val="1E304B88"/>
    <w:rsid w:val="1E3E02E7"/>
    <w:rsid w:val="1E680B85"/>
    <w:rsid w:val="1E9D55A8"/>
    <w:rsid w:val="1EA13E87"/>
    <w:rsid w:val="1EC11B39"/>
    <w:rsid w:val="1ED94E25"/>
    <w:rsid w:val="1EDB6C5F"/>
    <w:rsid w:val="1EE6740D"/>
    <w:rsid w:val="1F141EF2"/>
    <w:rsid w:val="1F3C6AF7"/>
    <w:rsid w:val="1F3E0B43"/>
    <w:rsid w:val="1F405E44"/>
    <w:rsid w:val="1F4E681F"/>
    <w:rsid w:val="1F5324C1"/>
    <w:rsid w:val="1F6833F6"/>
    <w:rsid w:val="1F7959F4"/>
    <w:rsid w:val="1F7C19E4"/>
    <w:rsid w:val="1F83562C"/>
    <w:rsid w:val="1F865F2E"/>
    <w:rsid w:val="1F8A4F75"/>
    <w:rsid w:val="1FBD7AAE"/>
    <w:rsid w:val="1FBE77B2"/>
    <w:rsid w:val="1FC26AB9"/>
    <w:rsid w:val="1FE91483"/>
    <w:rsid w:val="1FED166B"/>
    <w:rsid w:val="2000119F"/>
    <w:rsid w:val="201359DF"/>
    <w:rsid w:val="201C304F"/>
    <w:rsid w:val="203B1416"/>
    <w:rsid w:val="203C2005"/>
    <w:rsid w:val="204D7AED"/>
    <w:rsid w:val="204F595B"/>
    <w:rsid w:val="206301A7"/>
    <w:rsid w:val="20642E89"/>
    <w:rsid w:val="206F7CD5"/>
    <w:rsid w:val="20934FE0"/>
    <w:rsid w:val="209A17A4"/>
    <w:rsid w:val="20A70ABE"/>
    <w:rsid w:val="20B836F9"/>
    <w:rsid w:val="20C261C8"/>
    <w:rsid w:val="20C96FD1"/>
    <w:rsid w:val="20D562D7"/>
    <w:rsid w:val="20E35BDE"/>
    <w:rsid w:val="20E9348D"/>
    <w:rsid w:val="210D2CDA"/>
    <w:rsid w:val="212F6A59"/>
    <w:rsid w:val="21306305"/>
    <w:rsid w:val="213D54AD"/>
    <w:rsid w:val="214169BB"/>
    <w:rsid w:val="214F6387"/>
    <w:rsid w:val="217C7971"/>
    <w:rsid w:val="217D44BC"/>
    <w:rsid w:val="21842D67"/>
    <w:rsid w:val="21997056"/>
    <w:rsid w:val="219D3F2A"/>
    <w:rsid w:val="21AB77F7"/>
    <w:rsid w:val="21BF03BC"/>
    <w:rsid w:val="21D06D34"/>
    <w:rsid w:val="2209399D"/>
    <w:rsid w:val="220D7E27"/>
    <w:rsid w:val="22101F8E"/>
    <w:rsid w:val="2225227E"/>
    <w:rsid w:val="224E74D0"/>
    <w:rsid w:val="228A008B"/>
    <w:rsid w:val="229A7E25"/>
    <w:rsid w:val="22B059F5"/>
    <w:rsid w:val="22BD504B"/>
    <w:rsid w:val="22F017B2"/>
    <w:rsid w:val="230B07F6"/>
    <w:rsid w:val="23143B37"/>
    <w:rsid w:val="231637F9"/>
    <w:rsid w:val="23230E78"/>
    <w:rsid w:val="233027B0"/>
    <w:rsid w:val="23415924"/>
    <w:rsid w:val="235924CA"/>
    <w:rsid w:val="237B7D6C"/>
    <w:rsid w:val="23834A18"/>
    <w:rsid w:val="238755B6"/>
    <w:rsid w:val="239130F2"/>
    <w:rsid w:val="239B728F"/>
    <w:rsid w:val="23BD6F6C"/>
    <w:rsid w:val="23C80F4A"/>
    <w:rsid w:val="23D33566"/>
    <w:rsid w:val="23D9762E"/>
    <w:rsid w:val="24137B5B"/>
    <w:rsid w:val="24176341"/>
    <w:rsid w:val="24211333"/>
    <w:rsid w:val="242461D7"/>
    <w:rsid w:val="242C04D9"/>
    <w:rsid w:val="242E2FF6"/>
    <w:rsid w:val="242E7ECB"/>
    <w:rsid w:val="24427358"/>
    <w:rsid w:val="244F2484"/>
    <w:rsid w:val="24574CEB"/>
    <w:rsid w:val="245D41D2"/>
    <w:rsid w:val="24667266"/>
    <w:rsid w:val="24731A96"/>
    <w:rsid w:val="247A5C3A"/>
    <w:rsid w:val="248907B2"/>
    <w:rsid w:val="249A5E20"/>
    <w:rsid w:val="249C2676"/>
    <w:rsid w:val="249C6208"/>
    <w:rsid w:val="24BD38BA"/>
    <w:rsid w:val="252053F9"/>
    <w:rsid w:val="25467DBB"/>
    <w:rsid w:val="25473E3C"/>
    <w:rsid w:val="256343AC"/>
    <w:rsid w:val="257F18B5"/>
    <w:rsid w:val="25805FF5"/>
    <w:rsid w:val="258F15BB"/>
    <w:rsid w:val="259231BD"/>
    <w:rsid w:val="25A77DD4"/>
    <w:rsid w:val="25FD5078"/>
    <w:rsid w:val="260B255C"/>
    <w:rsid w:val="26217848"/>
    <w:rsid w:val="262E20E8"/>
    <w:rsid w:val="263C3F24"/>
    <w:rsid w:val="2640682F"/>
    <w:rsid w:val="26510DB8"/>
    <w:rsid w:val="26667EB2"/>
    <w:rsid w:val="266B1FB8"/>
    <w:rsid w:val="267E518B"/>
    <w:rsid w:val="26872779"/>
    <w:rsid w:val="269B3F13"/>
    <w:rsid w:val="26A4288C"/>
    <w:rsid w:val="26AA6DE9"/>
    <w:rsid w:val="26C36DE5"/>
    <w:rsid w:val="26F40E3F"/>
    <w:rsid w:val="26F40EBD"/>
    <w:rsid w:val="26FF79CF"/>
    <w:rsid w:val="272A3F42"/>
    <w:rsid w:val="274A7B1A"/>
    <w:rsid w:val="275439E1"/>
    <w:rsid w:val="276320D7"/>
    <w:rsid w:val="27684776"/>
    <w:rsid w:val="276E060A"/>
    <w:rsid w:val="279408D2"/>
    <w:rsid w:val="27B02558"/>
    <w:rsid w:val="27B91021"/>
    <w:rsid w:val="27C06D17"/>
    <w:rsid w:val="280008FF"/>
    <w:rsid w:val="28050D91"/>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EC4F7F"/>
    <w:rsid w:val="2C11705A"/>
    <w:rsid w:val="2C1216FD"/>
    <w:rsid w:val="2C1F2C4F"/>
    <w:rsid w:val="2C5C2032"/>
    <w:rsid w:val="2C6A4592"/>
    <w:rsid w:val="2C72088D"/>
    <w:rsid w:val="2C865A05"/>
    <w:rsid w:val="2C8B0557"/>
    <w:rsid w:val="2CB91C55"/>
    <w:rsid w:val="2CB949C2"/>
    <w:rsid w:val="2CDC7091"/>
    <w:rsid w:val="2D0C2247"/>
    <w:rsid w:val="2D0E231B"/>
    <w:rsid w:val="2D1A1A6B"/>
    <w:rsid w:val="2D1A4915"/>
    <w:rsid w:val="2D234D14"/>
    <w:rsid w:val="2D400A9F"/>
    <w:rsid w:val="2D7F16B9"/>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705752"/>
    <w:rsid w:val="2EA26ABE"/>
    <w:rsid w:val="2EB61295"/>
    <w:rsid w:val="2EE4206C"/>
    <w:rsid w:val="2EEA307E"/>
    <w:rsid w:val="2EF53C20"/>
    <w:rsid w:val="2EFC5DDD"/>
    <w:rsid w:val="2F002CCF"/>
    <w:rsid w:val="2F0160A3"/>
    <w:rsid w:val="2F0E372D"/>
    <w:rsid w:val="2F2960CC"/>
    <w:rsid w:val="2F2F3D52"/>
    <w:rsid w:val="2F3B7B8B"/>
    <w:rsid w:val="2F805714"/>
    <w:rsid w:val="2FA21231"/>
    <w:rsid w:val="2FAD4759"/>
    <w:rsid w:val="2FCA0967"/>
    <w:rsid w:val="2FF117AD"/>
    <w:rsid w:val="2FF95633"/>
    <w:rsid w:val="300F7F13"/>
    <w:rsid w:val="301E3C00"/>
    <w:rsid w:val="30500A5C"/>
    <w:rsid w:val="30565069"/>
    <w:rsid w:val="30752E77"/>
    <w:rsid w:val="3090288F"/>
    <w:rsid w:val="309B0CFB"/>
    <w:rsid w:val="309E4272"/>
    <w:rsid w:val="30DC45E8"/>
    <w:rsid w:val="30DD6027"/>
    <w:rsid w:val="30DE16AB"/>
    <w:rsid w:val="30F44A95"/>
    <w:rsid w:val="30FA21D8"/>
    <w:rsid w:val="311D5B14"/>
    <w:rsid w:val="311E6137"/>
    <w:rsid w:val="31647576"/>
    <w:rsid w:val="31665E5D"/>
    <w:rsid w:val="316D6950"/>
    <w:rsid w:val="31822EAF"/>
    <w:rsid w:val="31A53A0B"/>
    <w:rsid w:val="31B23BA8"/>
    <w:rsid w:val="31CA5CF8"/>
    <w:rsid w:val="31CB26CD"/>
    <w:rsid w:val="31D06A52"/>
    <w:rsid w:val="31F20023"/>
    <w:rsid w:val="31FB60C5"/>
    <w:rsid w:val="32226597"/>
    <w:rsid w:val="324968A9"/>
    <w:rsid w:val="324C02C6"/>
    <w:rsid w:val="32695D9A"/>
    <w:rsid w:val="327E6AD8"/>
    <w:rsid w:val="32946A84"/>
    <w:rsid w:val="32AC53A8"/>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E791E"/>
    <w:rsid w:val="354C7B38"/>
    <w:rsid w:val="354F28B8"/>
    <w:rsid w:val="355D687A"/>
    <w:rsid w:val="356B05FD"/>
    <w:rsid w:val="35744059"/>
    <w:rsid w:val="35771AC2"/>
    <w:rsid w:val="35A0338E"/>
    <w:rsid w:val="35A31A0A"/>
    <w:rsid w:val="35AB5D7D"/>
    <w:rsid w:val="35C154C0"/>
    <w:rsid w:val="35C7584B"/>
    <w:rsid w:val="35DD2AEE"/>
    <w:rsid w:val="35EA6509"/>
    <w:rsid w:val="35F44E5C"/>
    <w:rsid w:val="35F45994"/>
    <w:rsid w:val="3602050E"/>
    <w:rsid w:val="36101A49"/>
    <w:rsid w:val="36265F04"/>
    <w:rsid w:val="363F4D43"/>
    <w:rsid w:val="36627C0A"/>
    <w:rsid w:val="36693B36"/>
    <w:rsid w:val="366B0AAA"/>
    <w:rsid w:val="366D751E"/>
    <w:rsid w:val="36752210"/>
    <w:rsid w:val="36922B55"/>
    <w:rsid w:val="36991125"/>
    <w:rsid w:val="36B121C7"/>
    <w:rsid w:val="36D27C18"/>
    <w:rsid w:val="36D512A9"/>
    <w:rsid w:val="36E71974"/>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4C2D57"/>
    <w:rsid w:val="38720319"/>
    <w:rsid w:val="38894DA5"/>
    <w:rsid w:val="38981AB5"/>
    <w:rsid w:val="38A40C18"/>
    <w:rsid w:val="38AB306B"/>
    <w:rsid w:val="38BF2270"/>
    <w:rsid w:val="38C33701"/>
    <w:rsid w:val="38C43916"/>
    <w:rsid w:val="38D504F4"/>
    <w:rsid w:val="38D95A84"/>
    <w:rsid w:val="38E11AA1"/>
    <w:rsid w:val="38E46191"/>
    <w:rsid w:val="38E61CB9"/>
    <w:rsid w:val="38E7369A"/>
    <w:rsid w:val="393544DD"/>
    <w:rsid w:val="393962EC"/>
    <w:rsid w:val="394935B8"/>
    <w:rsid w:val="394C557A"/>
    <w:rsid w:val="3952190F"/>
    <w:rsid w:val="395753F2"/>
    <w:rsid w:val="39834074"/>
    <w:rsid w:val="39885108"/>
    <w:rsid w:val="399602F5"/>
    <w:rsid w:val="399B5B0D"/>
    <w:rsid w:val="39BB78F7"/>
    <w:rsid w:val="39C46549"/>
    <w:rsid w:val="39CA1A60"/>
    <w:rsid w:val="39D3749A"/>
    <w:rsid w:val="39DD49C2"/>
    <w:rsid w:val="39DD4ACE"/>
    <w:rsid w:val="39EC7454"/>
    <w:rsid w:val="3A796E46"/>
    <w:rsid w:val="3A9A224E"/>
    <w:rsid w:val="3A9D2551"/>
    <w:rsid w:val="3AA97F70"/>
    <w:rsid w:val="3ABF42F5"/>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F25EA"/>
    <w:rsid w:val="3E146F59"/>
    <w:rsid w:val="3E237BCC"/>
    <w:rsid w:val="3E3419DC"/>
    <w:rsid w:val="3E623E46"/>
    <w:rsid w:val="3E7A1C88"/>
    <w:rsid w:val="3E8B095A"/>
    <w:rsid w:val="3E8E6C82"/>
    <w:rsid w:val="3E943FDD"/>
    <w:rsid w:val="3EAC3BDD"/>
    <w:rsid w:val="3EB16263"/>
    <w:rsid w:val="3EB767A1"/>
    <w:rsid w:val="3ECF0F50"/>
    <w:rsid w:val="3ECF234A"/>
    <w:rsid w:val="3ED671CD"/>
    <w:rsid w:val="3EDA07D3"/>
    <w:rsid w:val="3EE14A57"/>
    <w:rsid w:val="3EE21263"/>
    <w:rsid w:val="3F053415"/>
    <w:rsid w:val="3F144192"/>
    <w:rsid w:val="3F1C5875"/>
    <w:rsid w:val="3F952814"/>
    <w:rsid w:val="3FA41C63"/>
    <w:rsid w:val="3FAB3D87"/>
    <w:rsid w:val="3FAB41A2"/>
    <w:rsid w:val="3FAE47F6"/>
    <w:rsid w:val="3FD70CC2"/>
    <w:rsid w:val="3FE763A0"/>
    <w:rsid w:val="400A1CFC"/>
    <w:rsid w:val="40400533"/>
    <w:rsid w:val="406D461C"/>
    <w:rsid w:val="406F7D87"/>
    <w:rsid w:val="40736576"/>
    <w:rsid w:val="40825FDB"/>
    <w:rsid w:val="40907287"/>
    <w:rsid w:val="40BD153A"/>
    <w:rsid w:val="40CD7BD8"/>
    <w:rsid w:val="40D07371"/>
    <w:rsid w:val="40D83467"/>
    <w:rsid w:val="40F1013C"/>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F24303"/>
    <w:rsid w:val="41F52080"/>
    <w:rsid w:val="420850A2"/>
    <w:rsid w:val="422E207E"/>
    <w:rsid w:val="42571AE1"/>
    <w:rsid w:val="42697E79"/>
    <w:rsid w:val="42730E0D"/>
    <w:rsid w:val="427409B9"/>
    <w:rsid w:val="42831021"/>
    <w:rsid w:val="42873CB7"/>
    <w:rsid w:val="42A87389"/>
    <w:rsid w:val="42D5302B"/>
    <w:rsid w:val="42D67001"/>
    <w:rsid w:val="42E06A10"/>
    <w:rsid w:val="43112BE5"/>
    <w:rsid w:val="431B56C6"/>
    <w:rsid w:val="432E5E21"/>
    <w:rsid w:val="433D2335"/>
    <w:rsid w:val="436A2192"/>
    <w:rsid w:val="439C3431"/>
    <w:rsid w:val="439D0E7C"/>
    <w:rsid w:val="43D67A91"/>
    <w:rsid w:val="43E21F58"/>
    <w:rsid w:val="43F76F69"/>
    <w:rsid w:val="43FC0DB2"/>
    <w:rsid w:val="44584267"/>
    <w:rsid w:val="447B4A66"/>
    <w:rsid w:val="447D4136"/>
    <w:rsid w:val="448B5845"/>
    <w:rsid w:val="44B53006"/>
    <w:rsid w:val="44C87C0F"/>
    <w:rsid w:val="44DF6F1B"/>
    <w:rsid w:val="454E4F75"/>
    <w:rsid w:val="454E6B7A"/>
    <w:rsid w:val="457736FF"/>
    <w:rsid w:val="45790DCE"/>
    <w:rsid w:val="458B757C"/>
    <w:rsid w:val="45917B8A"/>
    <w:rsid w:val="45E826B2"/>
    <w:rsid w:val="45F4334C"/>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3972F8"/>
    <w:rsid w:val="47457188"/>
    <w:rsid w:val="47666951"/>
    <w:rsid w:val="47683159"/>
    <w:rsid w:val="477B4502"/>
    <w:rsid w:val="479D7800"/>
    <w:rsid w:val="47DD6A91"/>
    <w:rsid w:val="47EB0853"/>
    <w:rsid w:val="47EE7C96"/>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94AE1"/>
    <w:rsid w:val="48DC218B"/>
    <w:rsid w:val="49075A63"/>
    <w:rsid w:val="4935171C"/>
    <w:rsid w:val="495C3370"/>
    <w:rsid w:val="496409A2"/>
    <w:rsid w:val="49707759"/>
    <w:rsid w:val="49927DFC"/>
    <w:rsid w:val="4995554E"/>
    <w:rsid w:val="499B3646"/>
    <w:rsid w:val="499C3504"/>
    <w:rsid w:val="49A43EE6"/>
    <w:rsid w:val="49C20C6C"/>
    <w:rsid w:val="49CE0C89"/>
    <w:rsid w:val="49D93C20"/>
    <w:rsid w:val="49DA3FD3"/>
    <w:rsid w:val="4A0573EC"/>
    <w:rsid w:val="4A06116C"/>
    <w:rsid w:val="4A09499E"/>
    <w:rsid w:val="4A2F5EF8"/>
    <w:rsid w:val="4A342821"/>
    <w:rsid w:val="4A381BA6"/>
    <w:rsid w:val="4A3926E2"/>
    <w:rsid w:val="4A4172CE"/>
    <w:rsid w:val="4A43236C"/>
    <w:rsid w:val="4A4A176A"/>
    <w:rsid w:val="4A6C0FC7"/>
    <w:rsid w:val="4A7413BF"/>
    <w:rsid w:val="4A7D09F3"/>
    <w:rsid w:val="4A840EFE"/>
    <w:rsid w:val="4AB439D0"/>
    <w:rsid w:val="4AC0753F"/>
    <w:rsid w:val="4AC4256B"/>
    <w:rsid w:val="4AD162A8"/>
    <w:rsid w:val="4AD768C6"/>
    <w:rsid w:val="4AF902F5"/>
    <w:rsid w:val="4AF94D4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1617F"/>
    <w:rsid w:val="4CFB51DB"/>
    <w:rsid w:val="4D0F1680"/>
    <w:rsid w:val="4D157AD8"/>
    <w:rsid w:val="4D1D6CA0"/>
    <w:rsid w:val="4D2609C6"/>
    <w:rsid w:val="4D2F5C2A"/>
    <w:rsid w:val="4D33448A"/>
    <w:rsid w:val="4D3F4840"/>
    <w:rsid w:val="4D410392"/>
    <w:rsid w:val="4D411D8A"/>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472BB9"/>
    <w:rsid w:val="4F7278C6"/>
    <w:rsid w:val="4F85034E"/>
    <w:rsid w:val="4F983E33"/>
    <w:rsid w:val="4FAB3627"/>
    <w:rsid w:val="4FB40C2C"/>
    <w:rsid w:val="4FD027BB"/>
    <w:rsid w:val="4FD365FC"/>
    <w:rsid w:val="4FD62D61"/>
    <w:rsid w:val="4FDC6418"/>
    <w:rsid w:val="4FE15781"/>
    <w:rsid w:val="50095827"/>
    <w:rsid w:val="50186BF6"/>
    <w:rsid w:val="502C4247"/>
    <w:rsid w:val="502D25A0"/>
    <w:rsid w:val="503D5373"/>
    <w:rsid w:val="504261AC"/>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A5890"/>
    <w:rsid w:val="51F96848"/>
    <w:rsid w:val="52073487"/>
    <w:rsid w:val="521D7ED7"/>
    <w:rsid w:val="52235C3D"/>
    <w:rsid w:val="5239194F"/>
    <w:rsid w:val="523B1903"/>
    <w:rsid w:val="52612620"/>
    <w:rsid w:val="52790FD9"/>
    <w:rsid w:val="528C5E23"/>
    <w:rsid w:val="529F0D9B"/>
    <w:rsid w:val="52CF0A4A"/>
    <w:rsid w:val="52DD5B35"/>
    <w:rsid w:val="52FC1C88"/>
    <w:rsid w:val="53155215"/>
    <w:rsid w:val="531621BA"/>
    <w:rsid w:val="531D0F10"/>
    <w:rsid w:val="534246C3"/>
    <w:rsid w:val="53495ACD"/>
    <w:rsid w:val="5366542B"/>
    <w:rsid w:val="536D41AE"/>
    <w:rsid w:val="53794E20"/>
    <w:rsid w:val="5391597D"/>
    <w:rsid w:val="53947DE7"/>
    <w:rsid w:val="53A27D95"/>
    <w:rsid w:val="53A911A1"/>
    <w:rsid w:val="53D4618B"/>
    <w:rsid w:val="53E07B00"/>
    <w:rsid w:val="53E47383"/>
    <w:rsid w:val="54002BFD"/>
    <w:rsid w:val="542F7A60"/>
    <w:rsid w:val="543E1687"/>
    <w:rsid w:val="54550067"/>
    <w:rsid w:val="54580F5A"/>
    <w:rsid w:val="5478695B"/>
    <w:rsid w:val="548810E8"/>
    <w:rsid w:val="549C6534"/>
    <w:rsid w:val="54B62C99"/>
    <w:rsid w:val="54DF688B"/>
    <w:rsid w:val="550E6C32"/>
    <w:rsid w:val="5547592A"/>
    <w:rsid w:val="554E0863"/>
    <w:rsid w:val="555737A6"/>
    <w:rsid w:val="55611FED"/>
    <w:rsid w:val="556C1CC4"/>
    <w:rsid w:val="55712540"/>
    <w:rsid w:val="557616C6"/>
    <w:rsid w:val="5577741D"/>
    <w:rsid w:val="558126EC"/>
    <w:rsid w:val="55864EA2"/>
    <w:rsid w:val="55883669"/>
    <w:rsid w:val="55905681"/>
    <w:rsid w:val="559537DA"/>
    <w:rsid w:val="55B403DD"/>
    <w:rsid w:val="55C0140E"/>
    <w:rsid w:val="55CF48E7"/>
    <w:rsid w:val="55D0342A"/>
    <w:rsid w:val="55D849A1"/>
    <w:rsid w:val="55E31A15"/>
    <w:rsid w:val="55E5367A"/>
    <w:rsid w:val="560A67FC"/>
    <w:rsid w:val="56214A7B"/>
    <w:rsid w:val="562E1F90"/>
    <w:rsid w:val="563B616D"/>
    <w:rsid w:val="56436207"/>
    <w:rsid w:val="566510CB"/>
    <w:rsid w:val="567A6CC0"/>
    <w:rsid w:val="56927DA4"/>
    <w:rsid w:val="56A04928"/>
    <w:rsid w:val="56A50EBB"/>
    <w:rsid w:val="56B96F66"/>
    <w:rsid w:val="56BE75C0"/>
    <w:rsid w:val="56CD5D52"/>
    <w:rsid w:val="56DA3EBA"/>
    <w:rsid w:val="56ED5E03"/>
    <w:rsid w:val="56FB0134"/>
    <w:rsid w:val="57012351"/>
    <w:rsid w:val="57095761"/>
    <w:rsid w:val="57292292"/>
    <w:rsid w:val="572E7E52"/>
    <w:rsid w:val="573B3910"/>
    <w:rsid w:val="57484376"/>
    <w:rsid w:val="574B4B12"/>
    <w:rsid w:val="575425F9"/>
    <w:rsid w:val="57702374"/>
    <w:rsid w:val="578421C3"/>
    <w:rsid w:val="579A7C07"/>
    <w:rsid w:val="57A46FEE"/>
    <w:rsid w:val="57B02763"/>
    <w:rsid w:val="57B6547E"/>
    <w:rsid w:val="57D01AAC"/>
    <w:rsid w:val="57DF6500"/>
    <w:rsid w:val="57E73B61"/>
    <w:rsid w:val="5803475B"/>
    <w:rsid w:val="58096FBE"/>
    <w:rsid w:val="580F5BC1"/>
    <w:rsid w:val="5822786C"/>
    <w:rsid w:val="58590DD2"/>
    <w:rsid w:val="586E1447"/>
    <w:rsid w:val="5878285F"/>
    <w:rsid w:val="588509DD"/>
    <w:rsid w:val="58957A8C"/>
    <w:rsid w:val="589F18E4"/>
    <w:rsid w:val="58B8443B"/>
    <w:rsid w:val="58BC4002"/>
    <w:rsid w:val="59267EF0"/>
    <w:rsid w:val="59421F7E"/>
    <w:rsid w:val="594935F2"/>
    <w:rsid w:val="595C0946"/>
    <w:rsid w:val="59642A7A"/>
    <w:rsid w:val="596D32B4"/>
    <w:rsid w:val="599148CE"/>
    <w:rsid w:val="59A24ED6"/>
    <w:rsid w:val="59B6531E"/>
    <w:rsid w:val="59B75E8A"/>
    <w:rsid w:val="59BC0F73"/>
    <w:rsid w:val="59BE1CC3"/>
    <w:rsid w:val="59C13A26"/>
    <w:rsid w:val="59D906FD"/>
    <w:rsid w:val="59EB0D06"/>
    <w:rsid w:val="5A0640DE"/>
    <w:rsid w:val="5A1215B1"/>
    <w:rsid w:val="5A1D0AF2"/>
    <w:rsid w:val="5A1F5196"/>
    <w:rsid w:val="5A227353"/>
    <w:rsid w:val="5A440B9D"/>
    <w:rsid w:val="5A4D5BB1"/>
    <w:rsid w:val="5A5128C3"/>
    <w:rsid w:val="5A5C7772"/>
    <w:rsid w:val="5A6336A1"/>
    <w:rsid w:val="5A6B7C88"/>
    <w:rsid w:val="5A73612A"/>
    <w:rsid w:val="5A990D48"/>
    <w:rsid w:val="5AA541CF"/>
    <w:rsid w:val="5AA772DA"/>
    <w:rsid w:val="5AB96041"/>
    <w:rsid w:val="5ABC6BFA"/>
    <w:rsid w:val="5AD510F0"/>
    <w:rsid w:val="5AF82FCA"/>
    <w:rsid w:val="5B187495"/>
    <w:rsid w:val="5B1B10FA"/>
    <w:rsid w:val="5B2445B5"/>
    <w:rsid w:val="5B492D29"/>
    <w:rsid w:val="5B5D453B"/>
    <w:rsid w:val="5B627DC7"/>
    <w:rsid w:val="5B6C5737"/>
    <w:rsid w:val="5B896F76"/>
    <w:rsid w:val="5B9C0984"/>
    <w:rsid w:val="5BBA5A5A"/>
    <w:rsid w:val="5BE23D1E"/>
    <w:rsid w:val="5BE24CD9"/>
    <w:rsid w:val="5BE50680"/>
    <w:rsid w:val="5BE52EE1"/>
    <w:rsid w:val="5BEA2231"/>
    <w:rsid w:val="5BFD4032"/>
    <w:rsid w:val="5C1832F4"/>
    <w:rsid w:val="5C1A3044"/>
    <w:rsid w:val="5C5E033F"/>
    <w:rsid w:val="5C6875EE"/>
    <w:rsid w:val="5CC43404"/>
    <w:rsid w:val="5CC93DAE"/>
    <w:rsid w:val="5CD31EE3"/>
    <w:rsid w:val="5D2B5629"/>
    <w:rsid w:val="5D473075"/>
    <w:rsid w:val="5D5864DB"/>
    <w:rsid w:val="5D73393B"/>
    <w:rsid w:val="5D784379"/>
    <w:rsid w:val="5D7B3457"/>
    <w:rsid w:val="5D8B2715"/>
    <w:rsid w:val="5D915AFD"/>
    <w:rsid w:val="5E00720B"/>
    <w:rsid w:val="5E012896"/>
    <w:rsid w:val="5E0A6049"/>
    <w:rsid w:val="5E226508"/>
    <w:rsid w:val="5E5F0687"/>
    <w:rsid w:val="5E783202"/>
    <w:rsid w:val="5E7842EE"/>
    <w:rsid w:val="5EB52E6F"/>
    <w:rsid w:val="5EB75AF2"/>
    <w:rsid w:val="5ED10F02"/>
    <w:rsid w:val="5EF04AC4"/>
    <w:rsid w:val="5F09081F"/>
    <w:rsid w:val="5F1111AD"/>
    <w:rsid w:val="5F121A0D"/>
    <w:rsid w:val="5F2C64A1"/>
    <w:rsid w:val="5F39582E"/>
    <w:rsid w:val="5F45602C"/>
    <w:rsid w:val="5F4A58A7"/>
    <w:rsid w:val="5F57147C"/>
    <w:rsid w:val="5F646936"/>
    <w:rsid w:val="5F764A5E"/>
    <w:rsid w:val="5F8C52DB"/>
    <w:rsid w:val="5F9761F4"/>
    <w:rsid w:val="5FA00A10"/>
    <w:rsid w:val="5FA4374A"/>
    <w:rsid w:val="5FA4380A"/>
    <w:rsid w:val="5FB25387"/>
    <w:rsid w:val="5FB458FD"/>
    <w:rsid w:val="5FC53509"/>
    <w:rsid w:val="5FD20829"/>
    <w:rsid w:val="5FFE6C22"/>
    <w:rsid w:val="60000309"/>
    <w:rsid w:val="600B6B90"/>
    <w:rsid w:val="600C3224"/>
    <w:rsid w:val="60143AD3"/>
    <w:rsid w:val="602D0B9B"/>
    <w:rsid w:val="603771DA"/>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40CDD"/>
    <w:rsid w:val="61963257"/>
    <w:rsid w:val="619C38B4"/>
    <w:rsid w:val="61A4486B"/>
    <w:rsid w:val="61BC23E5"/>
    <w:rsid w:val="61D21120"/>
    <w:rsid w:val="61D45909"/>
    <w:rsid w:val="61F3667F"/>
    <w:rsid w:val="62185165"/>
    <w:rsid w:val="623C76C6"/>
    <w:rsid w:val="62460FCD"/>
    <w:rsid w:val="62480FF0"/>
    <w:rsid w:val="624B14C1"/>
    <w:rsid w:val="62630C6B"/>
    <w:rsid w:val="627301E8"/>
    <w:rsid w:val="629208B4"/>
    <w:rsid w:val="629B787D"/>
    <w:rsid w:val="62BA3B2B"/>
    <w:rsid w:val="62C37511"/>
    <w:rsid w:val="62D11C3F"/>
    <w:rsid w:val="62E157FC"/>
    <w:rsid w:val="62E81148"/>
    <w:rsid w:val="62F76986"/>
    <w:rsid w:val="63340EAE"/>
    <w:rsid w:val="634B6A95"/>
    <w:rsid w:val="63615D3E"/>
    <w:rsid w:val="636C62BA"/>
    <w:rsid w:val="6379079D"/>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453B1"/>
    <w:rsid w:val="651A5C6A"/>
    <w:rsid w:val="65403733"/>
    <w:rsid w:val="654778E0"/>
    <w:rsid w:val="655754CB"/>
    <w:rsid w:val="655E2D72"/>
    <w:rsid w:val="65833C4F"/>
    <w:rsid w:val="658B37B6"/>
    <w:rsid w:val="659C17EE"/>
    <w:rsid w:val="65D70270"/>
    <w:rsid w:val="66032E7B"/>
    <w:rsid w:val="661026AA"/>
    <w:rsid w:val="662D68BF"/>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A44B2"/>
    <w:rsid w:val="678C1D52"/>
    <w:rsid w:val="67B020E7"/>
    <w:rsid w:val="67C149C0"/>
    <w:rsid w:val="67C7427D"/>
    <w:rsid w:val="67CA7967"/>
    <w:rsid w:val="67D9695E"/>
    <w:rsid w:val="67DC5CEA"/>
    <w:rsid w:val="67DF18A0"/>
    <w:rsid w:val="680965F8"/>
    <w:rsid w:val="68240EAA"/>
    <w:rsid w:val="6850356A"/>
    <w:rsid w:val="685465AC"/>
    <w:rsid w:val="687442EE"/>
    <w:rsid w:val="689B3E14"/>
    <w:rsid w:val="689F2FA0"/>
    <w:rsid w:val="68AD26AA"/>
    <w:rsid w:val="68AE25C5"/>
    <w:rsid w:val="68BC14B0"/>
    <w:rsid w:val="68C20D16"/>
    <w:rsid w:val="68DD619B"/>
    <w:rsid w:val="68FD5593"/>
    <w:rsid w:val="691B307E"/>
    <w:rsid w:val="6934218F"/>
    <w:rsid w:val="693C5AA5"/>
    <w:rsid w:val="693E13B7"/>
    <w:rsid w:val="694F2C5F"/>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031EC"/>
    <w:rsid w:val="6B340EF1"/>
    <w:rsid w:val="6B3D06AC"/>
    <w:rsid w:val="6B444BB7"/>
    <w:rsid w:val="6B4B2C3B"/>
    <w:rsid w:val="6B5B0A52"/>
    <w:rsid w:val="6B5D2504"/>
    <w:rsid w:val="6B95396B"/>
    <w:rsid w:val="6BBB00B1"/>
    <w:rsid w:val="6BBD0EDF"/>
    <w:rsid w:val="6BC03721"/>
    <w:rsid w:val="6BCF2DCA"/>
    <w:rsid w:val="6BD34581"/>
    <w:rsid w:val="6BDD0493"/>
    <w:rsid w:val="6BDE54AC"/>
    <w:rsid w:val="6BF25C39"/>
    <w:rsid w:val="6C06150E"/>
    <w:rsid w:val="6C263A06"/>
    <w:rsid w:val="6C3A624E"/>
    <w:rsid w:val="6C431738"/>
    <w:rsid w:val="6C505966"/>
    <w:rsid w:val="6C5D04BB"/>
    <w:rsid w:val="6C782BF2"/>
    <w:rsid w:val="6C8E4315"/>
    <w:rsid w:val="6C95615F"/>
    <w:rsid w:val="6CA94419"/>
    <w:rsid w:val="6CB23B0A"/>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D3363F"/>
    <w:rsid w:val="6DF161CB"/>
    <w:rsid w:val="6E0F320E"/>
    <w:rsid w:val="6E1B4CD0"/>
    <w:rsid w:val="6E376A3A"/>
    <w:rsid w:val="6E3F1C0F"/>
    <w:rsid w:val="6E633CB5"/>
    <w:rsid w:val="6E72570E"/>
    <w:rsid w:val="6E8A0AE2"/>
    <w:rsid w:val="6EAB29FB"/>
    <w:rsid w:val="6EB32B7F"/>
    <w:rsid w:val="6EB46F18"/>
    <w:rsid w:val="6EBD4DFF"/>
    <w:rsid w:val="6EC73357"/>
    <w:rsid w:val="6EE939F2"/>
    <w:rsid w:val="6F021829"/>
    <w:rsid w:val="6F28474F"/>
    <w:rsid w:val="6F384951"/>
    <w:rsid w:val="6F607895"/>
    <w:rsid w:val="6F61040C"/>
    <w:rsid w:val="6F6776E1"/>
    <w:rsid w:val="6F9C5D71"/>
    <w:rsid w:val="6FA3781E"/>
    <w:rsid w:val="6FBC172C"/>
    <w:rsid w:val="6FE53444"/>
    <w:rsid w:val="6FF1528E"/>
    <w:rsid w:val="700C0460"/>
    <w:rsid w:val="70170F2B"/>
    <w:rsid w:val="701E2FAB"/>
    <w:rsid w:val="70387A8F"/>
    <w:rsid w:val="70767F2C"/>
    <w:rsid w:val="707E62BB"/>
    <w:rsid w:val="709E640C"/>
    <w:rsid w:val="70B56633"/>
    <w:rsid w:val="70BB0D3E"/>
    <w:rsid w:val="70CF3906"/>
    <w:rsid w:val="70D91094"/>
    <w:rsid w:val="70DB76EF"/>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2F77AD6"/>
    <w:rsid w:val="731C28E7"/>
    <w:rsid w:val="732A4A9B"/>
    <w:rsid w:val="73343997"/>
    <w:rsid w:val="733C723A"/>
    <w:rsid w:val="733C7C6A"/>
    <w:rsid w:val="73690216"/>
    <w:rsid w:val="736A02D8"/>
    <w:rsid w:val="739B1EFF"/>
    <w:rsid w:val="73A16D22"/>
    <w:rsid w:val="73B1400F"/>
    <w:rsid w:val="73BA064C"/>
    <w:rsid w:val="73BB3C6E"/>
    <w:rsid w:val="73CE1997"/>
    <w:rsid w:val="73EC7C9D"/>
    <w:rsid w:val="740A54A9"/>
    <w:rsid w:val="741076D1"/>
    <w:rsid w:val="74215D04"/>
    <w:rsid w:val="742871CB"/>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A532FC"/>
    <w:rsid w:val="75C123A7"/>
    <w:rsid w:val="75CD2584"/>
    <w:rsid w:val="75F75D00"/>
    <w:rsid w:val="75F8074C"/>
    <w:rsid w:val="7600209C"/>
    <w:rsid w:val="760049B0"/>
    <w:rsid w:val="76070A73"/>
    <w:rsid w:val="763B42FB"/>
    <w:rsid w:val="763F1F92"/>
    <w:rsid w:val="76424474"/>
    <w:rsid w:val="76452780"/>
    <w:rsid w:val="76690632"/>
    <w:rsid w:val="767469E2"/>
    <w:rsid w:val="76775F0B"/>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49BD"/>
    <w:rsid w:val="77966F4C"/>
    <w:rsid w:val="77A56C95"/>
    <w:rsid w:val="77A75021"/>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027069"/>
    <w:rsid w:val="791474A8"/>
    <w:rsid w:val="79176206"/>
    <w:rsid w:val="79213934"/>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55679"/>
    <w:rsid w:val="7A6656B6"/>
    <w:rsid w:val="7A723F72"/>
    <w:rsid w:val="7A743D9C"/>
    <w:rsid w:val="7A9123B7"/>
    <w:rsid w:val="7A9711EE"/>
    <w:rsid w:val="7A9C3E5C"/>
    <w:rsid w:val="7AA952CF"/>
    <w:rsid w:val="7ACD2D7F"/>
    <w:rsid w:val="7AD27B42"/>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3AEC"/>
    <w:rsid w:val="7C815D2A"/>
    <w:rsid w:val="7C831756"/>
    <w:rsid w:val="7CB62523"/>
    <w:rsid w:val="7CE70935"/>
    <w:rsid w:val="7CF84A31"/>
    <w:rsid w:val="7CFC44C2"/>
    <w:rsid w:val="7D013B39"/>
    <w:rsid w:val="7D0826CA"/>
    <w:rsid w:val="7D130509"/>
    <w:rsid w:val="7D1946C0"/>
    <w:rsid w:val="7D2A5CCB"/>
    <w:rsid w:val="7D401CAA"/>
    <w:rsid w:val="7D64087E"/>
    <w:rsid w:val="7D7F5298"/>
    <w:rsid w:val="7DAB10BD"/>
    <w:rsid w:val="7DD7657D"/>
    <w:rsid w:val="7DF025EC"/>
    <w:rsid w:val="7DF464FC"/>
    <w:rsid w:val="7DF63D22"/>
    <w:rsid w:val="7E006A11"/>
    <w:rsid w:val="7E1C55F3"/>
    <w:rsid w:val="7E347694"/>
    <w:rsid w:val="7E3B5911"/>
    <w:rsid w:val="7E495416"/>
    <w:rsid w:val="7E497873"/>
    <w:rsid w:val="7E750E81"/>
    <w:rsid w:val="7E9044A6"/>
    <w:rsid w:val="7E922E52"/>
    <w:rsid w:val="7EA87297"/>
    <w:rsid w:val="7EC17D32"/>
    <w:rsid w:val="7EC57DB4"/>
    <w:rsid w:val="7ED55364"/>
    <w:rsid w:val="7ED61FF8"/>
    <w:rsid w:val="7EDE52DA"/>
    <w:rsid w:val="7EEC4A0C"/>
    <w:rsid w:val="7EEF5C7E"/>
    <w:rsid w:val="7F085E6E"/>
    <w:rsid w:val="7F090A0E"/>
    <w:rsid w:val="7F0C0396"/>
    <w:rsid w:val="7F160CCE"/>
    <w:rsid w:val="7F18438A"/>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5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5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4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0"/>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57"/>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5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2"/>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51"/>
    <w:unhideWhenUsed/>
    <w:uiPriority w:val="99"/>
    <w:rPr>
      <w:b/>
      <w:bCs/>
    </w:rPr>
  </w:style>
  <w:style w:type="paragraph" w:styleId="12">
    <w:name w:val="annotation text"/>
    <w:basedOn w:val="1"/>
    <w:link w:val="71"/>
    <w:unhideWhenUsed/>
    <w:uiPriority w:val="99"/>
    <w:rPr>
      <w:sz w:val="20"/>
      <w:szCs w:val="20"/>
    </w:rPr>
  </w:style>
  <w:style w:type="paragraph" w:styleId="13">
    <w:name w:val="caption"/>
    <w:basedOn w:val="1"/>
    <w:next w:val="1"/>
    <w:link w:val="54"/>
    <w:qFormat/>
    <w:uiPriority w:val="0"/>
    <w:pPr>
      <w:widowControl/>
      <w:spacing w:before="152" w:after="160"/>
    </w:pPr>
    <w:rPr>
      <w:rFonts w:ascii="Arial" w:hAnsi="Arial" w:eastAsia="黑体"/>
      <w:kern w:val="0"/>
      <w:sz w:val="20"/>
      <w:szCs w:val="20"/>
    </w:rPr>
  </w:style>
  <w:style w:type="paragraph" w:styleId="14">
    <w:name w:val="Document Map"/>
    <w:basedOn w:val="1"/>
    <w:link w:val="68"/>
    <w:unhideWhenUsed/>
    <w:uiPriority w:val="99"/>
    <w:rPr>
      <w:rFonts w:ascii="宋体"/>
      <w:kern w:val="0"/>
      <w:sz w:val="18"/>
      <w:szCs w:val="18"/>
    </w:rPr>
  </w:style>
  <w:style w:type="paragraph" w:styleId="15">
    <w:name w:val="Body Text"/>
    <w:basedOn w:val="1"/>
    <w:link w:val="46"/>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65"/>
    <w:unhideWhenUsed/>
    <w:uiPriority w:val="99"/>
    <w:rPr>
      <w:sz w:val="18"/>
      <w:szCs w:val="18"/>
    </w:rPr>
  </w:style>
  <w:style w:type="paragraph" w:styleId="17">
    <w:name w:val="footer"/>
    <w:basedOn w:val="18"/>
    <w:link w:val="66"/>
    <w:unhideWhenUsed/>
    <w:uiPriority w:val="99"/>
    <w:pPr>
      <w:tabs>
        <w:tab w:val="center" w:pos="4153"/>
        <w:tab w:val="right" w:pos="8306"/>
      </w:tabs>
      <w:snapToGrid w:val="0"/>
      <w:jc w:val="left"/>
    </w:pPr>
    <w:rPr>
      <w:kern w:val="0"/>
      <w:sz w:val="18"/>
      <w:szCs w:val="18"/>
    </w:rPr>
  </w:style>
  <w:style w:type="paragraph" w:styleId="18">
    <w:name w:val="header"/>
    <w:basedOn w:val="1"/>
    <w:link w:val="72"/>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basedOn w:val="21"/>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28">
    <w:name w:val="TH"/>
    <w:basedOn w:val="1"/>
    <w:link w:val="61"/>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9">
    <w:name w:val="TAN"/>
    <w:basedOn w:val="1"/>
    <w:link w:val="67"/>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30">
    <w:name w:val="TAL"/>
    <w:basedOn w:val="1"/>
    <w:link w:val="53"/>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styleId="31">
    <w:name w:val="List Paragraph"/>
    <w:basedOn w:val="1"/>
    <w:qFormat/>
    <w:uiPriority w:val="34"/>
    <w:pPr>
      <w:ind w:firstLine="420" w:firstLineChars="200"/>
    </w:pPr>
  </w:style>
  <w:style w:type="paragraph" w:customStyle="1" w:styleId="32">
    <w:name w:val="NO"/>
    <w:basedOn w:val="1"/>
    <w:link w:val="70"/>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3">
    <w:name w:val="TAH"/>
    <w:basedOn w:val="34"/>
    <w:link w:val="64"/>
    <w:uiPriority w:val="0"/>
    <w:rPr>
      <w:b/>
    </w:rPr>
  </w:style>
  <w:style w:type="paragraph" w:customStyle="1" w:styleId="34">
    <w:name w:val="TAC"/>
    <w:basedOn w:val="30"/>
    <w:link w:val="48"/>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EQ"/>
    <w:basedOn w:val="1"/>
    <w:next w:val="1"/>
    <w:uiPriority w:val="0"/>
    <w:pPr>
      <w:keepLines/>
      <w:tabs>
        <w:tab w:val="center" w:pos="4536"/>
        <w:tab w:val="right" w:pos="9072"/>
      </w:tabs>
    </w:pPr>
  </w:style>
  <w:style w:type="paragraph" w:customStyle="1" w:styleId="36">
    <w:name w:val="正文1"/>
    <w:basedOn w:val="1"/>
    <w:link w:val="59"/>
    <w:qFormat/>
    <w:uiPriority w:val="0"/>
    <w:pPr>
      <w:adjustRightInd w:val="0"/>
      <w:spacing w:after="180"/>
    </w:pPr>
    <w:rPr>
      <w:kern w:val="0"/>
      <w:sz w:val="20"/>
      <w:szCs w:val="20"/>
    </w:rPr>
  </w:style>
  <w:style w:type="paragraph" w:styleId="37">
    <w:name w:val="No Spacing"/>
    <w:qFormat/>
    <w:uiPriority w:val="1"/>
    <w:pPr>
      <w:widowControl w:val="0"/>
      <w:jc w:val="both"/>
    </w:pPr>
    <w:rPr>
      <w:kern w:val="2"/>
      <w:sz w:val="21"/>
      <w:szCs w:val="24"/>
      <w:lang w:val="en-US" w:eastAsia="zh-CN" w:bidi="ar-SA"/>
    </w:rPr>
  </w:style>
  <w:style w:type="paragraph" w:customStyle="1" w:styleId="3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9">
    <w:name w:val="Char"/>
    <w:basedOn w:val="31"/>
    <w:link w:val="56"/>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customStyle="1" w:styleId="4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41">
    <w:name w:val="_Style 0"/>
    <w:qFormat/>
    <w:uiPriority w:val="1"/>
    <w:pPr>
      <w:widowControl w:val="0"/>
      <w:jc w:val="both"/>
    </w:pPr>
    <w:rPr>
      <w:kern w:val="2"/>
      <w:sz w:val="21"/>
      <w:szCs w:val="24"/>
      <w:lang w:val="en-US" w:eastAsia="zh-CN" w:bidi="ar-SA"/>
    </w:rPr>
  </w:style>
  <w:style w:type="paragraph" w:customStyle="1" w:styleId="42">
    <w:name w:val="char char char"/>
    <w:basedOn w:val="36"/>
    <w:link w:val="73"/>
    <w:qFormat/>
    <w:uiPriority w:val="0"/>
    <w:pPr>
      <w:keepNext/>
      <w:keepLines/>
      <w:widowControl/>
      <w:spacing w:before="120"/>
      <w:ind w:firstLine="40"/>
      <w:outlineLvl w:val="2"/>
    </w:pPr>
    <w:rPr>
      <w:rFonts w:ascii="Arial" w:hAnsi="Arial"/>
      <w:sz w:val="24"/>
      <w:szCs w:val="28"/>
    </w:rPr>
  </w:style>
  <w:style w:type="paragraph" w:customStyle="1" w:styleId="43">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44">
    <w:name w:val="char char"/>
    <w:basedOn w:val="36"/>
    <w:link w:val="69"/>
    <w:qFormat/>
    <w:uiPriority w:val="0"/>
    <w:pPr>
      <w:spacing w:before="180" w:after="120"/>
      <w:outlineLvl w:val="1"/>
    </w:pPr>
    <w:rPr>
      <w:rFonts w:ascii="Arial" w:hAnsi="Arial"/>
      <w:sz w:val="28"/>
      <w:szCs w:val="32"/>
    </w:rPr>
  </w:style>
  <w:style w:type="paragraph" w:customStyle="1" w:styleId="45">
    <w:name w:val="B1"/>
    <w:basedOn w:val="19"/>
    <w:link w:val="52"/>
    <w:uiPriority w:val="0"/>
    <w:pPr>
      <w:widowControl/>
      <w:spacing w:after="180"/>
      <w:ind w:left="568" w:hanging="284" w:firstLineChars="0"/>
      <w:jc w:val="left"/>
    </w:pPr>
    <w:rPr>
      <w:rFonts w:eastAsia="MS Mincho"/>
      <w:kern w:val="0"/>
      <w:sz w:val="20"/>
      <w:szCs w:val="20"/>
      <w:lang w:val="en-GB" w:eastAsia="de-DE"/>
    </w:rPr>
  </w:style>
  <w:style w:type="character" w:customStyle="1" w:styleId="46">
    <w:name w:val="Body Text Char"/>
    <w:link w:val="15"/>
    <w:uiPriority w:val="0"/>
    <w:rPr>
      <w:rFonts w:ascii="Times New Roman" w:hAnsi="Times New Roman" w:eastAsia="Times New Roman" w:cs="Times New Roman"/>
      <w:kern w:val="0"/>
      <w:sz w:val="20"/>
      <w:szCs w:val="20"/>
      <w:lang w:val="en-GB" w:eastAsia="en-US"/>
    </w:rPr>
  </w:style>
  <w:style w:type="character" w:customStyle="1" w:styleId="47">
    <w:name w:val="keyword"/>
    <w:basedOn w:val="21"/>
    <w:uiPriority w:val="0"/>
  </w:style>
  <w:style w:type="character" w:customStyle="1" w:styleId="48">
    <w:name w:val="TAC Char"/>
    <w:link w:val="34"/>
    <w:uiPriority w:val="0"/>
    <w:rPr>
      <w:rFonts w:ascii="Arial" w:hAnsi="Arial" w:eastAsia="Times New Roman" w:cs="Times New Roman"/>
      <w:kern w:val="0"/>
      <w:sz w:val="18"/>
      <w:szCs w:val="20"/>
      <w:lang w:val="en-GB" w:eastAsia="ja-JP"/>
    </w:rPr>
  </w:style>
  <w:style w:type="character" w:customStyle="1" w:styleId="49">
    <w:name w:val="Heading 4 Char"/>
    <w:link w:val="5"/>
    <w:uiPriority w:val="0"/>
    <w:rPr>
      <w:rFonts w:ascii="Arial" w:hAnsi="Arial" w:eastAsia="宋体"/>
      <w:sz w:val="24"/>
      <w:lang w:val="en-GB" w:eastAsia="en-US"/>
    </w:rPr>
  </w:style>
  <w:style w:type="character" w:customStyle="1" w:styleId="50">
    <w:name w:val="Heading 8 Char"/>
    <w:link w:val="9"/>
    <w:uiPriority w:val="0"/>
    <w:rPr>
      <w:rFonts w:ascii="Arial" w:hAnsi="Arial" w:eastAsia="宋体"/>
      <w:sz w:val="36"/>
      <w:lang w:val="en-GB" w:eastAsia="en-US"/>
    </w:rPr>
  </w:style>
  <w:style w:type="character" w:customStyle="1" w:styleId="51">
    <w:name w:val="Comment Subject Char"/>
    <w:link w:val="11"/>
    <w:semiHidden/>
    <w:uiPriority w:val="99"/>
    <w:rPr>
      <w:b/>
      <w:bCs/>
      <w:kern w:val="2"/>
      <w:lang w:eastAsia="zh-CN"/>
    </w:rPr>
  </w:style>
  <w:style w:type="character" w:customStyle="1" w:styleId="52">
    <w:name w:val="B1 Char"/>
    <w:link w:val="45"/>
    <w:uiPriority w:val="0"/>
    <w:rPr>
      <w:rFonts w:ascii="Times New Roman" w:hAnsi="Times New Roman" w:eastAsia="MS Mincho"/>
      <w:lang w:val="en-GB" w:eastAsia="de-DE"/>
    </w:rPr>
  </w:style>
  <w:style w:type="character" w:customStyle="1" w:styleId="53">
    <w:name w:val="TAL Char"/>
    <w:link w:val="30"/>
    <w:uiPriority w:val="0"/>
    <w:rPr>
      <w:rFonts w:ascii="Arial" w:hAnsi="Arial"/>
      <w:sz w:val="18"/>
      <w:lang w:val="en-GB" w:eastAsia="en-US"/>
    </w:rPr>
  </w:style>
  <w:style w:type="character" w:customStyle="1" w:styleId="54">
    <w:name w:val="Caption Char"/>
    <w:link w:val="13"/>
    <w:uiPriority w:val="0"/>
    <w:rPr>
      <w:rFonts w:ascii="Arial" w:hAnsi="Arial" w:eastAsia="黑体"/>
    </w:rPr>
  </w:style>
  <w:style w:type="character" w:customStyle="1" w:styleId="55">
    <w:name w:val="Heading 1 Char"/>
    <w:link w:val="2"/>
    <w:uiPriority w:val="9"/>
    <w:rPr>
      <w:rFonts w:ascii="Cambria" w:hAnsi="Cambria" w:eastAsia="宋体" w:cs="Times New Roman"/>
      <w:b/>
      <w:bCs/>
      <w:kern w:val="32"/>
      <w:sz w:val="32"/>
      <w:szCs w:val="32"/>
      <w:lang w:val="en-US"/>
    </w:rPr>
  </w:style>
  <w:style w:type="character" w:customStyle="1" w:styleId="56">
    <w:name w:val="Char Char"/>
    <w:link w:val="39"/>
    <w:uiPriority w:val="0"/>
    <w:rPr>
      <w:rFonts w:ascii="Arial" w:hAnsi="Arial"/>
      <w:sz w:val="32"/>
      <w:szCs w:val="36"/>
    </w:rPr>
  </w:style>
  <w:style w:type="character" w:customStyle="1" w:styleId="57">
    <w:name w:val="Heading 7 Char"/>
    <w:link w:val="8"/>
    <w:uiPriority w:val="0"/>
    <w:rPr>
      <w:rFonts w:ascii="Arial" w:hAnsi="Arial" w:eastAsia="宋体"/>
      <w:lang w:val="en-GB" w:eastAsia="en-US"/>
    </w:rPr>
  </w:style>
  <w:style w:type="character" w:customStyle="1" w:styleId="58">
    <w:name w:val="Heading 2 Char"/>
    <w:link w:val="3"/>
    <w:uiPriority w:val="0"/>
    <w:rPr>
      <w:rFonts w:ascii="Arial" w:hAnsi="Arial"/>
      <w:sz w:val="32"/>
      <w:lang w:eastAsia="en-US"/>
    </w:rPr>
  </w:style>
  <w:style w:type="character" w:customStyle="1" w:styleId="59">
    <w:name w:val="正文1 Char"/>
    <w:link w:val="36"/>
    <w:uiPriority w:val="0"/>
    <w:rPr>
      <w:rFonts w:ascii="Times New Roman" w:hAnsi="Times New Roman" w:eastAsia="宋体" w:cs="Times New Roman"/>
      <w:kern w:val="0"/>
      <w:sz w:val="20"/>
      <w:szCs w:val="20"/>
    </w:rPr>
  </w:style>
  <w:style w:type="character" w:customStyle="1" w:styleId="60">
    <w:name w:val="Heading 5 Char"/>
    <w:link w:val="6"/>
    <w:uiPriority w:val="0"/>
    <w:rPr>
      <w:rFonts w:ascii="Arial" w:hAnsi="Arial" w:eastAsia="宋体"/>
      <w:sz w:val="22"/>
      <w:lang w:val="en-GB" w:eastAsia="en-US"/>
    </w:rPr>
  </w:style>
  <w:style w:type="character" w:customStyle="1" w:styleId="61">
    <w:name w:val="TH Char"/>
    <w:link w:val="28"/>
    <w:uiPriority w:val="0"/>
    <w:rPr>
      <w:rFonts w:ascii="Arial" w:hAnsi="Arial" w:eastAsia="宋体"/>
      <w:b/>
      <w:bCs/>
      <w:lang w:val="en-GB"/>
    </w:rPr>
  </w:style>
  <w:style w:type="character" w:customStyle="1" w:styleId="62">
    <w:name w:val="Heading 9 Char"/>
    <w:link w:val="10"/>
    <w:uiPriority w:val="0"/>
    <w:rPr>
      <w:rFonts w:ascii="Arial" w:hAnsi="Arial" w:eastAsia="宋体"/>
      <w:sz w:val="36"/>
      <w:lang w:val="en-GB" w:eastAsia="en-US"/>
    </w:rPr>
  </w:style>
  <w:style w:type="character" w:customStyle="1" w:styleId="63">
    <w:name w:val="Heading 6 Char"/>
    <w:link w:val="7"/>
    <w:uiPriority w:val="0"/>
    <w:rPr>
      <w:rFonts w:ascii="Arial" w:hAnsi="Arial" w:eastAsia="宋体"/>
      <w:lang w:val="en-GB" w:eastAsia="en-US"/>
    </w:rPr>
  </w:style>
  <w:style w:type="character" w:customStyle="1" w:styleId="64">
    <w:name w:val="TAH Car"/>
    <w:link w:val="33"/>
    <w:uiPriority w:val="0"/>
    <w:rPr>
      <w:rFonts w:ascii="Arial" w:hAnsi="Arial" w:eastAsia="Times New Roman" w:cs="Times New Roman"/>
      <w:b/>
      <w:kern w:val="0"/>
      <w:sz w:val="18"/>
      <w:szCs w:val="20"/>
      <w:lang w:val="en-GB" w:eastAsia="ja-JP"/>
    </w:rPr>
  </w:style>
  <w:style w:type="character" w:customStyle="1" w:styleId="65">
    <w:name w:val="Balloon Text Char"/>
    <w:link w:val="16"/>
    <w:semiHidden/>
    <w:uiPriority w:val="99"/>
    <w:rPr>
      <w:kern w:val="2"/>
      <w:sz w:val="18"/>
      <w:szCs w:val="18"/>
    </w:rPr>
  </w:style>
  <w:style w:type="character" w:customStyle="1" w:styleId="66">
    <w:name w:val="Footer Char"/>
    <w:link w:val="17"/>
    <w:uiPriority w:val="99"/>
    <w:rPr>
      <w:sz w:val="18"/>
      <w:szCs w:val="18"/>
    </w:rPr>
  </w:style>
  <w:style w:type="character" w:customStyle="1" w:styleId="67">
    <w:name w:val="TAN Char"/>
    <w:link w:val="29"/>
    <w:uiPriority w:val="0"/>
    <w:rPr>
      <w:rFonts w:ascii="Arial" w:hAnsi="Arial" w:eastAsia="宋体"/>
      <w:sz w:val="18"/>
      <w:szCs w:val="18"/>
      <w:lang w:val="en-GB"/>
    </w:rPr>
  </w:style>
  <w:style w:type="character" w:customStyle="1" w:styleId="68">
    <w:name w:val="Document Map Char"/>
    <w:link w:val="14"/>
    <w:semiHidden/>
    <w:uiPriority w:val="99"/>
    <w:rPr>
      <w:rFonts w:ascii="宋体" w:eastAsia="宋体"/>
      <w:sz w:val="18"/>
      <w:szCs w:val="18"/>
    </w:rPr>
  </w:style>
  <w:style w:type="character" w:customStyle="1" w:styleId="69">
    <w:name w:val="char char Char"/>
    <w:link w:val="44"/>
    <w:uiPriority w:val="0"/>
    <w:rPr>
      <w:rFonts w:ascii="Arial" w:hAnsi="Arial" w:eastAsia="宋体" w:cs="Times New Roman"/>
      <w:kern w:val="0"/>
      <w:sz w:val="28"/>
      <w:szCs w:val="32"/>
    </w:rPr>
  </w:style>
  <w:style w:type="character" w:customStyle="1" w:styleId="70">
    <w:name w:val="NO Char"/>
    <w:link w:val="32"/>
    <w:uiPriority w:val="0"/>
    <w:rPr>
      <w:rFonts w:ascii="Times New Roman" w:hAnsi="Times New Roman" w:eastAsia="Times New Roman"/>
      <w:lang w:val="en-GB"/>
    </w:rPr>
  </w:style>
  <w:style w:type="character" w:customStyle="1" w:styleId="71">
    <w:name w:val="Comment Text Char"/>
    <w:link w:val="12"/>
    <w:semiHidden/>
    <w:uiPriority w:val="99"/>
    <w:rPr>
      <w:kern w:val="2"/>
      <w:lang w:eastAsia="zh-CN"/>
    </w:rPr>
  </w:style>
  <w:style w:type="character" w:customStyle="1" w:styleId="72">
    <w:name w:val="Header Char"/>
    <w:link w:val="18"/>
    <w:uiPriority w:val="99"/>
    <w:rPr>
      <w:sz w:val="18"/>
      <w:szCs w:val="18"/>
    </w:rPr>
  </w:style>
  <w:style w:type="character" w:customStyle="1" w:styleId="73">
    <w:name w:val="char char char Char"/>
    <w:link w:val="42"/>
    <w:uiPriority w:val="0"/>
    <w:rPr>
      <w:rFonts w:ascii="Arial" w:hAnsi="Arial" w:eastAsia="宋体" w:cs="Times New Roman"/>
      <w:kern w:val="0"/>
      <w:sz w:val="24"/>
      <w:szCs w:val="28"/>
    </w:rPr>
  </w:style>
  <w:style w:type="character" w:customStyle="1" w:styleId="74">
    <w:name w:val="Heading 3 Char"/>
    <w:link w:val="4"/>
    <w:uiPriority w:val="0"/>
    <w:rPr>
      <w:rFonts w:ascii="Arial" w:hAnsi="Arial"/>
      <w:sz w:val="28"/>
      <w:lang w:eastAsia="en-US"/>
    </w:rPr>
  </w:style>
  <w:style w:type="character" w:customStyle="1" w:styleId="75">
    <w:name w:val="op_dict_text2"/>
    <w:basedOn w:val="21"/>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325</Words>
  <Characters>1859</Characters>
  <Lines>15</Lines>
  <Paragraphs>4</Paragraphs>
  <TotalTime>0</TotalTime>
  <ScaleCrop>false</ScaleCrop>
  <LinksUpToDate>false</LinksUpToDate>
  <CharactersWithSpaces>2180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2020-08-07T13:41:49Z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